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autoSpaceDE w:val="0"/>
        <w:autoSpaceDN w:val="0"/>
        <w:spacing w:line="500" w:lineRule="exact"/>
        <w:jc w:val="left"/>
        <w:rPr>
          <w:rFonts w:hint="eastAsia" w:asciiTheme="minorEastAsia" w:hAnsiTheme="minorEastAsia" w:cstheme="minorEastAsia"/>
          <w:sz w:val="24"/>
        </w:rPr>
      </w:pPr>
      <w:r>
        <w:rPr>
          <w:rFonts w:hint="eastAsia" w:asciiTheme="minorEastAsia" w:hAnsiTheme="minorEastAsia" w:cstheme="minorEastAsia"/>
          <w:sz w:val="24"/>
        </w:rPr>
        <w:t>附件：</w:t>
      </w:r>
    </w:p>
    <w:p>
      <w:pPr>
        <w:wordWrap w:val="0"/>
        <w:topLinePunct/>
        <w:autoSpaceDE w:val="0"/>
        <w:autoSpaceDN w:val="0"/>
        <w:spacing w:line="500" w:lineRule="exact"/>
        <w:jc w:val="center"/>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广西壮瑶药重点实验室自主研究课题和开放课题申报指南</w:t>
      </w:r>
    </w:p>
    <w:p>
      <w:pPr>
        <w:wordWrap w:val="0"/>
        <w:topLinePunct/>
        <w:autoSpaceDE w:val="0"/>
        <w:autoSpaceDN w:val="0"/>
        <w:spacing w:line="500" w:lineRule="exact"/>
        <w:jc w:val="left"/>
        <w:rPr>
          <w:rFonts w:hint="eastAsia" w:asciiTheme="minorEastAsia" w:hAnsiTheme="minorEastAsia" w:cstheme="minorEastAsia"/>
          <w:sz w:val="24"/>
        </w:rPr>
      </w:pPr>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广西壮瑶药重点实验室(以下简称实验室)于2014年获批成立，依托广西中医药大学建设与运行管理。实验室立足于丰富的壮瑶药资源和壮瑶医临床疗效优势，聚焦四大研究方向</w:t>
      </w:r>
      <w:r>
        <w:rPr>
          <w:rFonts w:hint="eastAsia" w:asciiTheme="minorEastAsia" w:hAnsiTheme="minorEastAsia" w:cstheme="minorEastAsia"/>
          <w:sz w:val="24"/>
          <w:lang w:eastAsia="zh-CN"/>
        </w:rPr>
        <w:t>：</w:t>
      </w:r>
      <w:r>
        <w:rPr>
          <w:rFonts w:hint="eastAsia" w:asciiTheme="minorEastAsia" w:hAnsiTheme="minorEastAsia" w:cstheme="minorEastAsia"/>
          <w:sz w:val="24"/>
        </w:rPr>
        <w:t>壮瑶药理论及品种鉴定与资源开发研究</w:t>
      </w:r>
      <w:r>
        <w:rPr>
          <w:rFonts w:hint="eastAsia" w:asciiTheme="minorEastAsia" w:hAnsiTheme="minorEastAsia" w:cstheme="minorEastAsia"/>
          <w:sz w:val="24"/>
          <w:lang w:eastAsia="zh-CN"/>
        </w:rPr>
        <w:t>、</w:t>
      </w:r>
      <w:r>
        <w:rPr>
          <w:rFonts w:hint="eastAsia" w:asciiTheme="minorEastAsia" w:hAnsiTheme="minorEastAsia" w:cstheme="minorEastAsia"/>
          <w:sz w:val="24"/>
        </w:rPr>
        <w:t>壮瑶药物质基础与质量控制研究</w:t>
      </w:r>
      <w:r>
        <w:rPr>
          <w:rFonts w:hint="eastAsia" w:asciiTheme="minorEastAsia" w:hAnsiTheme="minorEastAsia" w:cstheme="minorEastAsia"/>
          <w:sz w:val="24"/>
          <w:lang w:eastAsia="zh-CN"/>
        </w:rPr>
        <w:t>、</w:t>
      </w:r>
      <w:r>
        <w:rPr>
          <w:rFonts w:hint="eastAsia" w:asciiTheme="minorEastAsia" w:hAnsiTheme="minorEastAsia" w:cstheme="minorEastAsia"/>
          <w:sz w:val="24"/>
        </w:rPr>
        <w:t>壮瑶药药效筛选与安全性评价研究</w:t>
      </w:r>
      <w:r>
        <w:rPr>
          <w:rFonts w:hint="eastAsia" w:asciiTheme="minorEastAsia" w:hAnsiTheme="minorEastAsia" w:cstheme="minorEastAsia"/>
          <w:sz w:val="24"/>
          <w:lang w:val="en-US" w:eastAsia="zh-CN"/>
        </w:rPr>
        <w:t>和</w:t>
      </w:r>
      <w:r>
        <w:rPr>
          <w:rFonts w:hint="eastAsia" w:asciiTheme="minorEastAsia" w:hAnsiTheme="minorEastAsia" w:cstheme="minorEastAsia"/>
          <w:sz w:val="24"/>
        </w:rPr>
        <w:t>壮瑶药制剂与新产品开发研究。致力于系统整理与完善壮瑶药基础理论，创新共性关键技术，研发新制剂与新产品，建设结构合理、富有创新能力的科研团队，打造仪器先进、管理科学、功能完善、开放合作的科研平台。为广泛吸引优秀人才开展技术协同攻关，促进技术创新和产业进步，实验室特设立开放课题和自主研究课题。申报指南如下</w:t>
      </w:r>
      <w:r>
        <w:rPr>
          <w:rFonts w:hint="eastAsia" w:asciiTheme="minorEastAsia" w:hAnsiTheme="minorEastAsia" w:cstheme="minorEastAsia"/>
          <w:b/>
          <w:bCs/>
          <w:sz w:val="24"/>
        </w:rPr>
        <w:t>（具体选题见附表）</w:t>
      </w:r>
      <w:r>
        <w:rPr>
          <w:rFonts w:hint="eastAsia" w:asciiTheme="minorEastAsia" w:hAnsiTheme="minorEastAsia" w:cstheme="minorEastAsia"/>
          <w:sz w:val="24"/>
        </w:rPr>
        <w:t>：</w:t>
      </w:r>
    </w:p>
    <w:p>
      <w:pPr>
        <w:wordWrap w:val="0"/>
        <w:topLinePunct/>
        <w:autoSpaceDE w:val="0"/>
        <w:autoSpaceDN w:val="0"/>
        <w:spacing w:line="500" w:lineRule="exact"/>
        <w:ind w:firstLine="482" w:firstLineChars="200"/>
        <w:jc w:val="left"/>
        <w:rPr>
          <w:rFonts w:asciiTheme="minorEastAsia" w:hAnsiTheme="minorEastAsia" w:cstheme="minorEastAsia"/>
          <w:b/>
          <w:bCs/>
          <w:sz w:val="24"/>
        </w:rPr>
      </w:pPr>
      <w:r>
        <w:rPr>
          <w:rFonts w:hint="eastAsia" w:asciiTheme="minorEastAsia" w:hAnsiTheme="minorEastAsia" w:cstheme="minorEastAsia"/>
          <w:b/>
          <w:bCs/>
          <w:sz w:val="24"/>
        </w:rPr>
        <w:t>一、研究方向</w:t>
      </w:r>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lang w:val="en-US" w:eastAsia="zh-CN"/>
        </w:rPr>
        <w:t>1.</w:t>
      </w:r>
      <w:r>
        <w:rPr>
          <w:rFonts w:hint="eastAsia" w:asciiTheme="minorEastAsia" w:hAnsiTheme="minorEastAsia" w:cstheme="minorEastAsia"/>
          <w:sz w:val="24"/>
        </w:rPr>
        <w:t>研究方向一：壮瑶药理论及品种鉴定与资源开发</w:t>
      </w:r>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挖掘、整理和提高壮瑶医药理论，形成原创性民族医药基础理论专著，为发展民族医药提供理论基础。采用多种方法对壮瑶药品种进行真伪优劣的鉴定研究（开展基原鉴定、性状、鉴别、检查、炮制、DNA分子标记等技术研究）；创新“品种-质量-活性-应用”四位一体的研究模式；开展壮瑶药资源普查；遴选出高效优质的壮瑶药药用植物，进行种质繁育和快速繁殖，探索建立优质种源的途径和方法。</w:t>
      </w:r>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lang w:val="en-US" w:eastAsia="zh-CN"/>
        </w:rPr>
        <w:t>2.</w:t>
      </w:r>
      <w:r>
        <w:rPr>
          <w:rFonts w:hint="eastAsia" w:asciiTheme="minorEastAsia" w:hAnsiTheme="minorEastAsia" w:cstheme="minorEastAsia"/>
          <w:sz w:val="24"/>
        </w:rPr>
        <w:t>研究方向二：</w:t>
      </w:r>
      <w:bookmarkStart w:id="0" w:name="_Hlk211518911"/>
      <w:r>
        <w:rPr>
          <w:rFonts w:hint="eastAsia" w:asciiTheme="minorEastAsia" w:hAnsiTheme="minorEastAsia" w:cstheme="minorEastAsia"/>
          <w:sz w:val="24"/>
        </w:rPr>
        <w:t>壮瑶药药效物质基础与质量控制</w:t>
      </w:r>
      <w:bookmarkEnd w:id="0"/>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以壮瑶药基础理论为基础，运用现代科学技术与方法壮瑶药物质基础进行研究，包括化学成分的提取分离、鉴定、活性评价和构效关系等的研究，进而阐明壮瑶药的活性物质基础；对其质量控制方法进行研究（建立水分、灰分、浸出物等含量测定方法，开展生物活性与安全性评价研究，对农药残留量、重金属含量、有关毒性成分测定分析），建立或完善民族药材的质量标准；促进民族药的开发利用和临床用药安全。</w:t>
      </w:r>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lang w:val="en-US" w:eastAsia="zh-CN"/>
        </w:rPr>
        <w:t>3.</w:t>
      </w:r>
      <w:r>
        <w:rPr>
          <w:rFonts w:hint="eastAsia" w:asciiTheme="minorEastAsia" w:hAnsiTheme="minorEastAsia" w:cstheme="minorEastAsia"/>
          <w:sz w:val="24"/>
        </w:rPr>
        <w:t>研究方向三：</w:t>
      </w:r>
      <w:bookmarkStart w:id="1" w:name="_Hlk211518921"/>
      <w:r>
        <w:rPr>
          <w:rFonts w:hint="eastAsia" w:asciiTheme="minorEastAsia" w:hAnsiTheme="minorEastAsia" w:cstheme="minorEastAsia"/>
          <w:sz w:val="24"/>
        </w:rPr>
        <w:t>壮瑶药药效筛选与安全性评价</w:t>
      </w:r>
      <w:bookmarkEnd w:id="1"/>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对壮药中的解毒药、补虚药、通三道药、通两路药及瑶药中的“虎牛风钻”等特色药材的提取物、活性部位、活性组分和成分以及特色方剂进行药理和毒理研究。筛选具有防治壮瑶医“三道病”“汪症”（代谢性疾病）、“卑病”“提症”“瘰症”（恶性肿瘤）、“咪叠病”“肝风痛”（肝脏疾病）、“啊肉甜”“亏症”（糖尿病）疾病的活性提取物，并对其进行安全性评价，为拓宽壮瑶药资源的活性范围及其深度开发利用奠定基础，为壮瑶药新药开发提供科学依据。</w:t>
      </w:r>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lang w:val="en-US" w:eastAsia="zh-CN"/>
        </w:rPr>
        <w:t>4.</w:t>
      </w:r>
      <w:r>
        <w:rPr>
          <w:rFonts w:hint="eastAsia" w:asciiTheme="minorEastAsia" w:hAnsiTheme="minorEastAsia" w:cstheme="minorEastAsia"/>
          <w:sz w:val="24"/>
        </w:rPr>
        <w:t>研究方向四：壮瑶药制剂与新产品开发</w:t>
      </w:r>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运用现代药剂学技术，对壮成药、瑶成药的新制剂进行应用基础研究，联合有条件的制药企业共同进行应用基础研究，进行壮瑶药新剂型或医院制剂的科技含量提升、二次开发的基础研究。</w:t>
      </w:r>
    </w:p>
    <w:p>
      <w:pPr>
        <w:numPr>
          <w:ilvl w:val="0"/>
          <w:numId w:val="0"/>
        </w:numPr>
        <w:wordWrap w:val="0"/>
        <w:topLinePunct/>
        <w:autoSpaceDE w:val="0"/>
        <w:autoSpaceDN w:val="0"/>
        <w:spacing w:line="500" w:lineRule="exact"/>
        <w:ind w:leftChars="200"/>
        <w:jc w:val="left"/>
        <w:rPr>
          <w:rFonts w:hint="eastAsia" w:asciiTheme="minorEastAsia" w:hAnsiTheme="minorEastAsia" w:cstheme="minorEastAsia"/>
          <w:b/>
          <w:bCs/>
          <w:sz w:val="24"/>
        </w:rPr>
      </w:pPr>
      <w:r>
        <w:rPr>
          <w:rFonts w:hint="eastAsia" w:asciiTheme="minorEastAsia" w:hAnsiTheme="minorEastAsia" w:cstheme="minorEastAsia"/>
          <w:b/>
          <w:bCs/>
          <w:sz w:val="24"/>
          <w:lang w:val="en-US" w:eastAsia="zh-CN"/>
        </w:rPr>
        <w:t>二、</w:t>
      </w:r>
      <w:r>
        <w:rPr>
          <w:rFonts w:hint="eastAsia" w:asciiTheme="minorEastAsia" w:hAnsiTheme="minorEastAsia" w:cstheme="minorEastAsia"/>
          <w:b/>
          <w:bCs/>
          <w:sz w:val="24"/>
        </w:rPr>
        <w:t>申请条件和限项</w:t>
      </w:r>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申请人条件</w:t>
      </w:r>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（1）具有中级及以上职称；或具备硕士及以上学位；</w:t>
      </w:r>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（2）开放课题面向实验室</w:t>
      </w:r>
      <w:r>
        <w:rPr>
          <w:rFonts w:hint="eastAsia" w:asciiTheme="minorEastAsia" w:hAnsiTheme="minorEastAsia" w:cstheme="minorEastAsia"/>
          <w:sz w:val="24"/>
          <w:lang w:val="en-US" w:eastAsia="zh-CN"/>
        </w:rPr>
        <w:t>以</w:t>
      </w:r>
      <w:r>
        <w:rPr>
          <w:rFonts w:hint="eastAsia" w:asciiTheme="minorEastAsia" w:hAnsiTheme="minorEastAsia" w:cstheme="minorEastAsia"/>
          <w:sz w:val="24"/>
        </w:rPr>
        <w:t>外单位的研究人员，同时要求研究团队中至少有1名本实验室固定人员作为课题合作人。</w:t>
      </w:r>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（3）自主研究课题面向本实验室固定人员。</w:t>
      </w:r>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2</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限项</w:t>
      </w:r>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（1）历年主持的子课题未结题的课题负责人不能申请。</w:t>
      </w:r>
    </w:p>
    <w:p>
      <w:pPr>
        <w:wordWrap w:val="0"/>
        <w:topLinePunct/>
        <w:autoSpaceDE w:val="0"/>
        <w:autoSpaceDN w:val="0"/>
        <w:spacing w:line="50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（2）每人限报1项。</w:t>
      </w:r>
    </w:p>
    <w:p>
      <w:pPr>
        <w:numPr>
          <w:ilvl w:val="0"/>
          <w:numId w:val="0"/>
        </w:numPr>
        <w:wordWrap w:val="0"/>
        <w:topLinePunct/>
        <w:autoSpaceDE w:val="0"/>
        <w:autoSpaceDN w:val="0"/>
        <w:spacing w:line="500" w:lineRule="exact"/>
        <w:ind w:leftChars="200"/>
        <w:jc w:val="left"/>
        <w:rPr>
          <w:rFonts w:hint="eastAsia" w:asciiTheme="minorEastAsia" w:hAnsiTheme="minorEastAsia" w:cstheme="minorEastAsia"/>
          <w:b/>
          <w:bCs/>
          <w:sz w:val="24"/>
        </w:rPr>
      </w:pPr>
      <w:r>
        <w:rPr>
          <w:rFonts w:hint="eastAsia" w:asciiTheme="minorEastAsia" w:hAnsiTheme="minorEastAsia" w:cstheme="minorEastAsia"/>
          <w:b/>
          <w:bCs/>
          <w:sz w:val="24"/>
          <w:lang w:val="en-US" w:eastAsia="zh-CN"/>
        </w:rPr>
        <w:t>三、</w:t>
      </w:r>
      <w:r>
        <w:rPr>
          <w:rFonts w:asciiTheme="minorEastAsia" w:hAnsiTheme="minorEastAsia" w:cstheme="minorEastAsia"/>
          <w:b/>
          <w:bCs/>
          <w:sz w:val="24"/>
        </w:rPr>
        <w:t>申请书撰写要求</w:t>
      </w:r>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r>
        <w:rPr>
          <w:rFonts w:asciiTheme="minorEastAsia" w:hAnsiTheme="minorEastAsia" w:cstheme="minorEastAsia"/>
          <w:sz w:val="24"/>
        </w:rPr>
        <w:t>1.撰写申请书时，要认真准确填写各项内容。不按要求填写或者填写错误的申请书不能通过初审；</w:t>
      </w:r>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r>
        <w:rPr>
          <w:rFonts w:asciiTheme="minorEastAsia" w:hAnsiTheme="minorEastAsia" w:cstheme="minorEastAsia"/>
          <w:sz w:val="24"/>
        </w:rPr>
        <w:t>2. 申请者和项目组成员须在申请书上签字；</w:t>
      </w:r>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r>
        <w:rPr>
          <w:rFonts w:asciiTheme="minorEastAsia" w:hAnsiTheme="minorEastAsia" w:cstheme="minorEastAsia"/>
          <w:sz w:val="24"/>
        </w:rPr>
        <w:t>3.遵守科学道德，要以严谨的科学作风和实事求是的科学精神撰写申请书，避免在申请书中出现夸大、不真实和不准确的内容，坚决反对弄虚作假。</w:t>
      </w:r>
    </w:p>
    <w:p>
      <w:pPr>
        <w:numPr>
          <w:ilvl w:val="0"/>
          <w:numId w:val="0"/>
        </w:numPr>
        <w:wordWrap w:val="0"/>
        <w:topLinePunct/>
        <w:autoSpaceDE w:val="0"/>
        <w:autoSpaceDN w:val="0"/>
        <w:spacing w:line="500" w:lineRule="exact"/>
        <w:ind w:leftChars="200"/>
        <w:jc w:val="left"/>
        <w:rPr>
          <w:rFonts w:hint="eastAsia" w:asciiTheme="minorEastAsia" w:hAnsiTheme="minorEastAsia" w:cstheme="minorEastAsia"/>
          <w:b/>
          <w:bCs/>
          <w:sz w:val="24"/>
        </w:rPr>
      </w:pPr>
      <w:r>
        <w:rPr>
          <w:rFonts w:hint="eastAsia" w:asciiTheme="minorEastAsia" w:hAnsiTheme="minorEastAsia" w:cstheme="minorEastAsia"/>
          <w:b/>
          <w:bCs/>
          <w:sz w:val="24"/>
          <w:lang w:val="en-US" w:eastAsia="zh-CN"/>
        </w:rPr>
        <w:t>四、</w:t>
      </w:r>
      <w:r>
        <w:rPr>
          <w:rFonts w:hint="eastAsia" w:asciiTheme="minorEastAsia" w:hAnsiTheme="minorEastAsia" w:cstheme="minorEastAsia"/>
          <w:b/>
          <w:bCs/>
          <w:sz w:val="24"/>
        </w:rPr>
        <w:t>课题管理</w:t>
      </w:r>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1.课题研究经费自筹为主，每项课题资助0.2万元；</w:t>
      </w:r>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2.课题申报材料受理后，广西壮瑶药重点实验室将组织专家对材料进行评审，择优确定立项名单并予公布。</w:t>
      </w:r>
    </w:p>
    <w:p>
      <w:pPr>
        <w:wordWrap w:val="0"/>
        <w:topLinePunct/>
        <w:autoSpaceDE w:val="0"/>
        <w:autoSpaceDN w:val="0"/>
        <w:spacing w:line="50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3.研究周期：1-2年。</w:t>
      </w:r>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4.验收方式：广西壮瑶药重点实验室组织专家对已发表的课题论文或专利等成果进行初审、结题评审，通过评审的，由广西壮瑶药重点实验室颁发结题证书。</w:t>
      </w:r>
    </w:p>
    <w:p>
      <w:pPr>
        <w:numPr>
          <w:ilvl w:val="0"/>
          <w:numId w:val="0"/>
        </w:numPr>
        <w:wordWrap w:val="0"/>
        <w:topLinePunct/>
        <w:autoSpaceDE w:val="0"/>
        <w:autoSpaceDN w:val="0"/>
        <w:spacing w:line="500" w:lineRule="exact"/>
        <w:ind w:leftChars="200"/>
        <w:jc w:val="left"/>
        <w:rPr>
          <w:rFonts w:hint="eastAsia" w:asciiTheme="minorEastAsia" w:hAnsiTheme="minorEastAsia" w:cstheme="minorEastAsia"/>
          <w:b/>
          <w:bCs/>
          <w:sz w:val="24"/>
        </w:rPr>
      </w:pPr>
      <w:r>
        <w:rPr>
          <w:rFonts w:hint="eastAsia" w:asciiTheme="minorEastAsia" w:hAnsiTheme="minorEastAsia" w:cstheme="minorEastAsia"/>
          <w:b/>
          <w:bCs/>
          <w:sz w:val="24"/>
          <w:lang w:val="en-US" w:eastAsia="zh-CN"/>
        </w:rPr>
        <w:t>五、</w:t>
      </w:r>
      <w:r>
        <w:rPr>
          <w:rFonts w:hint="eastAsia" w:asciiTheme="minorEastAsia" w:hAnsiTheme="minorEastAsia" w:cstheme="minorEastAsia"/>
          <w:b/>
          <w:bCs/>
          <w:sz w:val="24"/>
        </w:rPr>
        <w:t>课题受理和评审办法</w:t>
      </w:r>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r>
        <w:rPr>
          <w:rFonts w:asciiTheme="minorEastAsia" w:hAnsiTheme="minorEastAsia" w:cstheme="minorEastAsia"/>
          <w:sz w:val="24"/>
        </w:rPr>
        <w:t>申报书格式见附件。</w:t>
      </w:r>
      <w:r>
        <w:rPr>
          <w:rFonts w:hint="eastAsia" w:asciiTheme="minorEastAsia" w:hAnsiTheme="minorEastAsia" w:cstheme="minorEastAsia"/>
          <w:sz w:val="24"/>
        </w:rPr>
        <w:t>请于2025年1</w:t>
      </w:r>
      <w:r>
        <w:rPr>
          <w:rFonts w:hint="eastAsia" w:asciiTheme="minorEastAsia" w:hAnsiTheme="minorEastAsia" w:cstheme="minorEastAsia"/>
          <w:sz w:val="24"/>
          <w:lang w:val="en-US" w:eastAsia="zh-CN"/>
        </w:rPr>
        <w:t>0</w:t>
      </w:r>
      <w:r>
        <w:rPr>
          <w:rFonts w:hint="eastAsia" w:asciiTheme="minorEastAsia" w:hAnsiTheme="minorEastAsia" w:cstheme="minorEastAsia"/>
          <w:sz w:val="24"/>
        </w:rPr>
        <w:t>月</w:t>
      </w:r>
      <w:r>
        <w:rPr>
          <w:rFonts w:hint="eastAsia" w:asciiTheme="minorEastAsia" w:hAnsiTheme="minorEastAsia" w:cstheme="minorEastAsia"/>
          <w:sz w:val="24"/>
          <w:lang w:val="en-US" w:eastAsia="zh-CN"/>
        </w:rPr>
        <w:t>23</w:t>
      </w:r>
      <w:r>
        <w:rPr>
          <w:rFonts w:hint="eastAsia" w:asciiTheme="minorEastAsia" w:hAnsiTheme="minorEastAsia" w:cstheme="minorEastAsia"/>
          <w:sz w:val="24"/>
        </w:rPr>
        <w:t>日</w:t>
      </w:r>
      <w:r>
        <w:rPr>
          <w:rFonts w:hint="eastAsia" w:asciiTheme="minorEastAsia" w:hAnsiTheme="minorEastAsia" w:cstheme="minorEastAsia"/>
          <w:sz w:val="24"/>
          <w:lang w:val="en-US" w:eastAsia="zh-CN"/>
        </w:rPr>
        <w:t>中午12</w:t>
      </w:r>
      <w:bookmarkStart w:id="5" w:name="_GoBack"/>
      <w:bookmarkEnd w:id="5"/>
      <w:r>
        <w:rPr>
          <w:rFonts w:hint="eastAsia" w:asciiTheme="minorEastAsia" w:hAnsiTheme="minorEastAsia" w:cstheme="minorEastAsia"/>
          <w:sz w:val="24"/>
        </w:rPr>
        <w:t>：00前将申报书盖章纸质版（一式三份）提交到广西壮瑶药重点实验室办公室（广西中医药大学格物楼C404-2室），同时发送电子版文件至676407465@qq.com。</w:t>
      </w:r>
    </w:p>
    <w:p>
      <w:pPr>
        <w:wordWrap w:val="0"/>
        <w:topLinePunct/>
        <w:autoSpaceDE w:val="0"/>
        <w:autoSpaceDN w:val="0"/>
        <w:spacing w:line="500" w:lineRule="exact"/>
        <w:ind w:firstLine="480" w:firstLineChars="200"/>
        <w:jc w:val="left"/>
        <w:rPr>
          <w:rFonts w:asciiTheme="minorEastAsia" w:hAnsiTheme="minorEastAsia" w:cstheme="minorEastAsia"/>
          <w:sz w:val="24"/>
        </w:rPr>
      </w:pPr>
      <w:r>
        <w:rPr>
          <w:rFonts w:asciiTheme="minorEastAsia" w:hAnsiTheme="minorEastAsia" w:cstheme="minorEastAsia"/>
          <w:sz w:val="24"/>
        </w:rPr>
        <w:t>申请书经形式审查合格后进入评审程序，根据评审结果，</w:t>
      </w:r>
      <w:r>
        <w:rPr>
          <w:rFonts w:hint="eastAsia" w:asciiTheme="minorEastAsia" w:hAnsiTheme="minorEastAsia" w:cstheme="minorEastAsia"/>
          <w:sz w:val="24"/>
        </w:rPr>
        <w:t>经由广西壮瑶药重点实验室批准课题资助决定，及时向申请人及其所在单位发布立项通知。</w:t>
      </w:r>
    </w:p>
    <w:p>
      <w:pPr>
        <w:numPr>
          <w:ilvl w:val="0"/>
          <w:numId w:val="0"/>
        </w:numPr>
        <w:wordWrap w:val="0"/>
        <w:topLinePunct/>
        <w:autoSpaceDE w:val="0"/>
        <w:autoSpaceDN w:val="0"/>
        <w:spacing w:line="500" w:lineRule="exact"/>
        <w:ind w:leftChars="200"/>
        <w:jc w:val="left"/>
        <w:rPr>
          <w:rFonts w:hint="eastAsia" w:asciiTheme="minorEastAsia" w:hAnsiTheme="minorEastAsia" w:cstheme="minorEastAsia"/>
          <w:b/>
          <w:bCs/>
          <w:sz w:val="24"/>
        </w:rPr>
      </w:pPr>
      <w:r>
        <w:rPr>
          <w:rFonts w:hint="eastAsia" w:asciiTheme="minorEastAsia" w:hAnsiTheme="minorEastAsia" w:cstheme="minorEastAsia"/>
          <w:b/>
          <w:bCs/>
          <w:sz w:val="24"/>
          <w:lang w:val="en-US" w:eastAsia="zh-CN"/>
        </w:rPr>
        <w:t>六、</w:t>
      </w:r>
      <w:r>
        <w:rPr>
          <w:rFonts w:hint="eastAsia" w:asciiTheme="minorEastAsia" w:hAnsiTheme="minorEastAsia" w:cstheme="minorEastAsia"/>
          <w:b/>
          <w:bCs/>
          <w:sz w:val="24"/>
        </w:rPr>
        <w:t>经费管理办法</w:t>
      </w:r>
    </w:p>
    <w:p>
      <w:pPr>
        <w:numPr>
          <w:ilvl w:val="0"/>
          <w:numId w:val="0"/>
        </w:numPr>
        <w:wordWrap w:val="0"/>
        <w:topLinePunct/>
        <w:autoSpaceDE w:val="0"/>
        <w:autoSpaceDN w:val="0"/>
        <w:spacing w:line="50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lang w:val="en-US" w:eastAsia="zh-CN"/>
        </w:rPr>
        <w:t>1.</w:t>
      </w:r>
      <w:r>
        <w:rPr>
          <w:rFonts w:asciiTheme="minorEastAsia" w:hAnsiTheme="minorEastAsia" w:cstheme="minorEastAsia"/>
          <w:sz w:val="24"/>
        </w:rPr>
        <w:t>申请者获得开放课题资助后，按照</w:t>
      </w:r>
      <w:r>
        <w:rPr>
          <w:rFonts w:hint="eastAsia" w:asciiTheme="minorEastAsia" w:hAnsiTheme="minorEastAsia" w:cstheme="minorEastAsia"/>
          <w:sz w:val="24"/>
        </w:rPr>
        <w:t>广西中医药大学</w:t>
      </w:r>
      <w:r>
        <w:rPr>
          <w:rFonts w:asciiTheme="minorEastAsia" w:hAnsiTheme="minorEastAsia" w:cstheme="minorEastAsia"/>
          <w:sz w:val="24"/>
        </w:rPr>
        <w:t>规章制度</w:t>
      </w:r>
      <w:r>
        <w:rPr>
          <w:rFonts w:hint="eastAsia" w:asciiTheme="minorEastAsia" w:hAnsiTheme="minorEastAsia" w:cstheme="minorEastAsia"/>
          <w:sz w:val="24"/>
        </w:rPr>
        <w:t>进行</w:t>
      </w:r>
      <w:r>
        <w:rPr>
          <w:rFonts w:asciiTheme="minorEastAsia" w:hAnsiTheme="minorEastAsia" w:cstheme="minorEastAsia"/>
          <w:sz w:val="24"/>
        </w:rPr>
        <w:t>报销</w:t>
      </w:r>
      <w:r>
        <w:rPr>
          <w:rFonts w:hint="eastAsia" w:asciiTheme="minorEastAsia" w:hAnsiTheme="minorEastAsia" w:cstheme="minorEastAsia"/>
          <w:sz w:val="24"/>
        </w:rPr>
        <w:t>，</w:t>
      </w:r>
      <w:r>
        <w:rPr>
          <w:rFonts w:asciiTheme="minorEastAsia" w:hAnsiTheme="minorEastAsia" w:cstheme="minorEastAsia"/>
          <w:sz w:val="24"/>
        </w:rPr>
        <w:t>报销票据抬头及相关购置合同购货方为</w:t>
      </w:r>
      <w:r>
        <w:rPr>
          <w:rFonts w:hint="eastAsia" w:asciiTheme="minorEastAsia" w:hAnsiTheme="minorEastAsia" w:cstheme="minorEastAsia"/>
          <w:sz w:val="24"/>
        </w:rPr>
        <w:t>广西</w:t>
      </w:r>
      <w:r>
        <w:rPr>
          <w:rFonts w:asciiTheme="minorEastAsia" w:hAnsiTheme="minorEastAsia" w:cstheme="minorEastAsia"/>
          <w:sz w:val="24"/>
        </w:rPr>
        <w:t>中医药大学。</w:t>
      </w:r>
    </w:p>
    <w:p>
      <w:pPr>
        <w:numPr>
          <w:ilvl w:val="0"/>
          <w:numId w:val="0"/>
        </w:numPr>
        <w:wordWrap w:val="0"/>
        <w:topLinePunct/>
        <w:autoSpaceDE w:val="0"/>
        <w:autoSpaceDN w:val="0"/>
        <w:spacing w:line="50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lang w:val="en-US" w:eastAsia="zh-CN"/>
        </w:rPr>
        <w:t>2.</w:t>
      </w:r>
      <w:r>
        <w:rPr>
          <w:rFonts w:hint="eastAsia" w:asciiTheme="minorEastAsia" w:hAnsiTheme="minorEastAsia" w:cstheme="minorEastAsia"/>
          <w:sz w:val="24"/>
        </w:rPr>
        <w:t>中心</w:t>
      </w:r>
      <w:r>
        <w:rPr>
          <w:rFonts w:asciiTheme="minorEastAsia" w:hAnsiTheme="minorEastAsia" w:cstheme="minorEastAsia"/>
          <w:sz w:val="24"/>
        </w:rPr>
        <w:t>开放课题经费的开支包括：材料费、测试化验加工费、差旅费、出版/文献/信息传播/知识产权事务费</w:t>
      </w:r>
      <w:r>
        <w:rPr>
          <w:rFonts w:hint="eastAsia" w:asciiTheme="minorEastAsia" w:hAnsiTheme="minorEastAsia" w:cstheme="minorEastAsia"/>
          <w:sz w:val="24"/>
        </w:rPr>
        <w:t>、劳务费、咨询费</w:t>
      </w:r>
      <w:r>
        <w:rPr>
          <w:rFonts w:asciiTheme="minorEastAsia" w:hAnsiTheme="minorEastAsia" w:cstheme="minorEastAsia"/>
          <w:sz w:val="24"/>
        </w:rPr>
        <w:t>。</w:t>
      </w:r>
    </w:p>
    <w:p>
      <w:pPr>
        <w:numPr>
          <w:ilvl w:val="0"/>
          <w:numId w:val="0"/>
        </w:numPr>
        <w:wordWrap w:val="0"/>
        <w:topLinePunct/>
        <w:autoSpaceDE w:val="0"/>
        <w:autoSpaceDN w:val="0"/>
        <w:spacing w:line="500" w:lineRule="exact"/>
        <w:ind w:leftChars="200"/>
        <w:jc w:val="left"/>
        <w:rPr>
          <w:rFonts w:hint="eastAsia" w:asciiTheme="minorEastAsia" w:hAnsiTheme="minorEastAsia" w:cstheme="minorEastAsia"/>
          <w:b/>
          <w:bCs/>
          <w:sz w:val="24"/>
        </w:rPr>
      </w:pPr>
      <w:r>
        <w:rPr>
          <w:rFonts w:hint="eastAsia" w:asciiTheme="minorEastAsia" w:hAnsiTheme="minorEastAsia" w:cstheme="minorEastAsia"/>
          <w:b/>
          <w:bCs/>
          <w:sz w:val="24"/>
          <w:lang w:val="en-US" w:eastAsia="zh-CN"/>
        </w:rPr>
        <w:t>七、</w:t>
      </w:r>
      <w:r>
        <w:rPr>
          <w:rFonts w:hint="eastAsia" w:asciiTheme="minorEastAsia" w:hAnsiTheme="minorEastAsia" w:cstheme="minorEastAsia"/>
          <w:b/>
          <w:bCs/>
          <w:sz w:val="24"/>
        </w:rPr>
        <w:t>成果管理</w:t>
      </w:r>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1. 基金资助课题所取得的研究成果，由广西壮瑶药重点实验室和研究者所在单位共同享有。</w:t>
      </w:r>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2. 发表论文、申请奖励、专利等成果时，第一作者或通讯作者的署名单位必须包含“广西壮瑶药重点实验室，广西中医药大学”（英文为：Guangxi Key Laboratory of Zhuang and Yao Ethnic Medicine, Guangxi University of Chinese Medicine），并注明“广西壮瑶药重点实验室（编号：桂科基字［2014］32号）”（英文为：Guangxi Key Laboratory of Zhuang and Yao Ethnic Medicine (Gui Ke Ji Zi [2014] No. 32)，且排名为前2。</w:t>
      </w:r>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3. 发表学术论文等成果时，署名作者须包含参与项目研究的</w:t>
      </w:r>
      <w:r>
        <w:rPr>
          <w:rFonts w:hint="eastAsia" w:asciiTheme="minorEastAsia" w:hAnsiTheme="minorEastAsia" w:cstheme="minorEastAsia"/>
          <w:sz w:val="24"/>
          <w:lang w:val="en-US" w:eastAsia="zh-CN"/>
        </w:rPr>
        <w:t>广西壮瑶药重点实验室</w:t>
      </w:r>
      <w:r>
        <w:rPr>
          <w:rFonts w:hint="eastAsia" w:asciiTheme="minorEastAsia" w:hAnsiTheme="minorEastAsia" w:cstheme="minorEastAsia"/>
          <w:sz w:val="24"/>
        </w:rPr>
        <w:t>固定人员。</w:t>
      </w:r>
    </w:p>
    <w:p>
      <w:pPr>
        <w:wordWrap w:val="0"/>
        <w:topLinePunct/>
        <w:autoSpaceDE w:val="0"/>
        <w:autoSpaceDN w:val="0"/>
        <w:spacing w:line="500" w:lineRule="exact"/>
        <w:ind w:firstLine="482" w:firstLineChars="200"/>
        <w:jc w:val="left"/>
        <w:rPr>
          <w:rFonts w:hint="eastAsia" w:asciiTheme="minorEastAsia" w:hAnsiTheme="minorEastAsia" w:cstheme="minorEastAsia"/>
          <w:b/>
          <w:bCs/>
          <w:sz w:val="24"/>
        </w:rPr>
      </w:pPr>
      <w:r>
        <w:rPr>
          <w:rFonts w:hint="eastAsia" w:asciiTheme="minorEastAsia" w:hAnsiTheme="minorEastAsia" w:cstheme="minorEastAsia"/>
          <w:b/>
          <w:bCs/>
          <w:sz w:val="24"/>
        </w:rPr>
        <w:t>八、联系方式</w:t>
      </w:r>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联系人： 张淼</w:t>
      </w:r>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 xml:space="preserve">联系方式：17535764888   </w:t>
      </w:r>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lang w:val="en-US" w:eastAsia="zh-CN"/>
        </w:rPr>
        <w:t>联系</w:t>
      </w:r>
      <w:r>
        <w:rPr>
          <w:rFonts w:hint="eastAsia" w:asciiTheme="minorEastAsia" w:hAnsiTheme="minorEastAsia" w:cstheme="minorEastAsia"/>
          <w:sz w:val="24"/>
        </w:rPr>
        <w:t xml:space="preserve">地址：广西南宁市五合大道13号　广西中医药大学科学实验中心格物楼四楼C404-2室 </w:t>
      </w:r>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 xml:space="preserve"> </w:t>
      </w:r>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 xml:space="preserve"> </w:t>
      </w:r>
    </w:p>
    <w:p>
      <w:pPr>
        <w:wordWrap w:val="0"/>
        <w:topLinePunct/>
        <w:autoSpaceDE w:val="0"/>
        <w:autoSpaceDN w:val="0"/>
        <w:spacing w:line="500" w:lineRule="exact"/>
        <w:ind w:firstLine="480" w:firstLineChars="200"/>
        <w:jc w:val="right"/>
        <w:rPr>
          <w:rFonts w:hint="eastAsia" w:asciiTheme="minorEastAsia" w:hAnsiTheme="minorEastAsia" w:cstheme="minorEastAsia"/>
          <w:sz w:val="24"/>
        </w:rPr>
      </w:pPr>
      <w:r>
        <w:rPr>
          <w:rFonts w:hint="eastAsia" w:asciiTheme="minorEastAsia" w:hAnsiTheme="minorEastAsia" w:cstheme="minorEastAsia"/>
          <w:sz w:val="24"/>
        </w:rPr>
        <w:t>广西壮瑶药重点实验室</w:t>
      </w:r>
    </w:p>
    <w:p>
      <w:pPr>
        <w:wordWrap w:val="0"/>
        <w:topLinePunct/>
        <w:autoSpaceDE w:val="0"/>
        <w:autoSpaceDN w:val="0"/>
        <w:spacing w:line="500" w:lineRule="exact"/>
        <w:ind w:firstLine="480" w:firstLineChars="200"/>
        <w:jc w:val="right"/>
        <w:rPr>
          <w:rFonts w:hint="eastAsia" w:asciiTheme="minorEastAsia" w:hAnsiTheme="minorEastAsia" w:cstheme="minorEastAsia"/>
          <w:sz w:val="24"/>
        </w:rPr>
      </w:pPr>
      <w:r>
        <w:rPr>
          <w:rFonts w:hint="eastAsia" w:asciiTheme="minorEastAsia" w:hAnsiTheme="minorEastAsia" w:cstheme="minorEastAsia"/>
          <w:sz w:val="24"/>
        </w:rPr>
        <w:t xml:space="preserve">                  2025年10月1</w:t>
      </w:r>
      <w:r>
        <w:rPr>
          <w:rFonts w:hint="eastAsia" w:asciiTheme="minorEastAsia" w:hAnsiTheme="minorEastAsia" w:cstheme="minorEastAsia"/>
          <w:sz w:val="24"/>
          <w:lang w:val="en-US" w:eastAsia="zh-CN"/>
        </w:rPr>
        <w:t>5</w:t>
      </w:r>
      <w:r>
        <w:rPr>
          <w:rFonts w:hint="eastAsia" w:asciiTheme="minorEastAsia" w:hAnsiTheme="minorEastAsia" w:cstheme="minorEastAsia"/>
          <w:sz w:val="24"/>
        </w:rPr>
        <w:t>日</w:t>
      </w:r>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p>
    <w:p>
      <w:pPr>
        <w:wordWrap w:val="0"/>
        <w:topLinePunct/>
        <w:autoSpaceDE w:val="0"/>
        <w:autoSpaceDN w:val="0"/>
        <w:spacing w:line="500" w:lineRule="exact"/>
        <w:ind w:firstLine="480" w:firstLineChars="200"/>
        <w:jc w:val="left"/>
        <w:rPr>
          <w:rFonts w:hint="eastAsia" w:asciiTheme="minorEastAsia" w:hAnsiTheme="minorEastAsia" w:cstheme="minorEastAsia"/>
          <w:sz w:val="24"/>
        </w:rPr>
      </w:pPr>
    </w:p>
    <w:p>
      <w:pPr>
        <w:wordWrap w:val="0"/>
        <w:topLinePunct/>
        <w:autoSpaceDE w:val="0"/>
        <w:autoSpaceDN w:val="0"/>
        <w:spacing w:line="500" w:lineRule="exact"/>
        <w:jc w:val="left"/>
        <w:rPr>
          <w:rFonts w:hint="eastAsia" w:asciiTheme="minorEastAsia" w:hAnsiTheme="minorEastAsia" w:cstheme="minorEastAsia"/>
          <w:sz w:val="24"/>
        </w:rPr>
      </w:pPr>
    </w:p>
    <w:p>
      <w:pPr>
        <w:wordWrap w:val="0"/>
        <w:topLinePunct/>
        <w:autoSpaceDE w:val="0"/>
        <w:autoSpaceDN w:val="0"/>
        <w:spacing w:line="500" w:lineRule="exact"/>
        <w:jc w:val="left"/>
        <w:rPr>
          <w:rFonts w:hint="eastAsia" w:asciiTheme="minorEastAsia" w:hAnsiTheme="minorEastAsia" w:cstheme="minorEastAsia"/>
          <w:sz w:val="24"/>
        </w:rPr>
      </w:pPr>
    </w:p>
    <w:p>
      <w:pPr>
        <w:wordWrap w:val="0"/>
        <w:topLinePunct/>
        <w:autoSpaceDE w:val="0"/>
        <w:autoSpaceDN w:val="0"/>
        <w:spacing w:line="500" w:lineRule="exact"/>
        <w:jc w:val="left"/>
        <w:rPr>
          <w:rFonts w:hint="eastAsia" w:asciiTheme="minorEastAsia" w:hAnsiTheme="minorEastAsia" w:cstheme="minorEastAsia"/>
          <w:sz w:val="24"/>
        </w:rPr>
      </w:pPr>
    </w:p>
    <w:p>
      <w:pPr>
        <w:wordWrap w:val="0"/>
        <w:topLinePunct/>
        <w:autoSpaceDE w:val="0"/>
        <w:autoSpaceDN w:val="0"/>
        <w:spacing w:line="500" w:lineRule="exact"/>
        <w:jc w:val="left"/>
        <w:rPr>
          <w:rFonts w:asciiTheme="minorEastAsia" w:hAnsiTheme="minorEastAsia" w:cstheme="minorEastAsia"/>
          <w:sz w:val="24"/>
        </w:rPr>
      </w:pPr>
    </w:p>
    <w:p>
      <w:pPr>
        <w:wordWrap w:val="0"/>
        <w:topLinePunct/>
        <w:autoSpaceDE w:val="0"/>
        <w:autoSpaceDN w:val="0"/>
        <w:spacing w:line="500" w:lineRule="exact"/>
        <w:jc w:val="left"/>
        <w:rPr>
          <w:rFonts w:asciiTheme="minorEastAsia" w:hAnsiTheme="minorEastAsia" w:cstheme="minorEastAsia"/>
          <w:sz w:val="24"/>
        </w:rPr>
      </w:pPr>
    </w:p>
    <w:p>
      <w:pPr>
        <w:widowControl/>
        <w:jc w:val="left"/>
        <w:rPr>
          <w:rFonts w:hint="eastAsia" w:asciiTheme="minorEastAsia" w:hAnsiTheme="minorEastAsia" w:cstheme="minorEastAsia"/>
          <w:sz w:val="24"/>
        </w:rPr>
      </w:pPr>
      <w:r>
        <w:rPr>
          <w:rFonts w:hint="eastAsia" w:asciiTheme="minorEastAsia" w:hAnsiTheme="minorEastAsia" w:cstheme="minorEastAsia"/>
          <w:sz w:val="24"/>
        </w:rPr>
        <w:br w:type="page"/>
      </w:r>
    </w:p>
    <w:p>
      <w:pPr>
        <w:wordWrap w:val="0"/>
        <w:topLinePunct/>
        <w:autoSpaceDE w:val="0"/>
        <w:autoSpaceDN w:val="0"/>
        <w:spacing w:line="500" w:lineRule="exact"/>
        <w:jc w:val="left"/>
        <w:rPr>
          <w:rFonts w:hint="eastAsia" w:asciiTheme="minorEastAsia" w:hAnsiTheme="minorEastAsia" w:cstheme="minorEastAsia"/>
          <w:sz w:val="24"/>
        </w:rPr>
      </w:pPr>
      <w:r>
        <w:rPr>
          <w:rFonts w:hint="eastAsia" w:asciiTheme="minorEastAsia" w:hAnsiTheme="minorEastAsia" w:cstheme="minorEastAsia"/>
          <w:sz w:val="24"/>
        </w:rPr>
        <w:t>附表</w:t>
      </w:r>
    </w:p>
    <w:p>
      <w:pPr>
        <w:wordWrap w:val="0"/>
        <w:topLinePunct/>
        <w:autoSpaceDE w:val="0"/>
        <w:autoSpaceDN w:val="0"/>
        <w:spacing w:line="5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建议选题内容：</w:t>
      </w:r>
    </w:p>
    <w:p>
      <w:pPr>
        <w:wordWrap w:val="0"/>
        <w:topLinePunct/>
        <w:autoSpaceDE w:val="0"/>
        <w:autoSpaceDN w:val="0"/>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w:t>
      </w:r>
      <w:bookmarkStart w:id="2" w:name="_Hlk211528814"/>
      <w:r>
        <w:rPr>
          <w:rFonts w:hint="default" w:ascii="Times New Roman" w:hAnsi="Times New Roman" w:eastAsia="宋体" w:cs="Times New Roman"/>
          <w:color w:val="auto"/>
          <w:sz w:val="24"/>
          <w:szCs w:val="24"/>
        </w:rPr>
        <w:t>围绕</w:t>
      </w:r>
      <w:bookmarkEnd w:id="2"/>
      <w:r>
        <w:rPr>
          <w:rFonts w:hint="default" w:ascii="Times New Roman" w:hAnsi="Times New Roman" w:eastAsia="宋体" w:cs="Times New Roman"/>
          <w:color w:val="auto"/>
          <w:sz w:val="24"/>
          <w:szCs w:val="24"/>
        </w:rPr>
        <w:t>白背三七</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白子菜</w:t>
      </w:r>
      <w:r>
        <w:rPr>
          <w:rFonts w:hint="default" w:ascii="Times New Roman" w:hAnsi="Times New Roman" w:eastAsia="宋体" w:cs="Times New Roman"/>
          <w:i/>
          <w:iCs/>
          <w:color w:val="auto"/>
          <w:sz w:val="21"/>
          <w:szCs w:val="21"/>
        </w:rPr>
        <w:t>Gynura divaricata</w:t>
      </w:r>
      <w:r>
        <w:rPr>
          <w:rFonts w:hint="default" w:ascii="Times New Roman" w:hAnsi="Times New Roman" w:eastAsia="宋体" w:cs="Times New Roman"/>
          <w:color w:val="auto"/>
          <w:sz w:val="21"/>
          <w:szCs w:val="21"/>
        </w:rPr>
        <w:t> (L.) DC. 全草</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4"/>
          <w:szCs w:val="24"/>
        </w:rPr>
        <w:t>、犁头草</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长萼堇菜</w:t>
      </w:r>
      <w:r>
        <w:rPr>
          <w:rFonts w:hint="default" w:ascii="Times New Roman" w:hAnsi="Times New Roman" w:eastAsia="宋体" w:cs="Times New Roman"/>
          <w:i/>
          <w:iCs/>
          <w:color w:val="auto"/>
          <w:sz w:val="21"/>
          <w:szCs w:val="21"/>
        </w:rPr>
        <w:t>Viola inconspicua</w:t>
      </w:r>
      <w:r>
        <w:rPr>
          <w:rFonts w:hint="default" w:ascii="Times New Roman" w:hAnsi="Times New Roman" w:eastAsia="宋体" w:cs="Times New Roman"/>
          <w:color w:val="auto"/>
          <w:sz w:val="21"/>
          <w:szCs w:val="21"/>
        </w:rPr>
        <w:t> Blume.全草</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4"/>
          <w:szCs w:val="24"/>
        </w:rPr>
        <w:t>、三妹木</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美丽胡枝子</w:t>
      </w:r>
      <w:r>
        <w:rPr>
          <w:rFonts w:hint="default" w:ascii="Times New Roman" w:hAnsi="Times New Roman" w:eastAsia="宋体" w:cs="Times New Roman"/>
          <w:i/>
          <w:iCs/>
          <w:color w:val="auto"/>
          <w:sz w:val="21"/>
          <w:szCs w:val="21"/>
        </w:rPr>
        <w:t>Lespedeza Formosa</w:t>
      </w:r>
      <w:r>
        <w:rPr>
          <w:rFonts w:hint="default" w:ascii="Times New Roman" w:hAnsi="Times New Roman" w:eastAsia="宋体" w:cs="Times New Roman"/>
          <w:color w:val="auto"/>
          <w:sz w:val="21"/>
          <w:szCs w:val="21"/>
        </w:rPr>
        <w:t> Wight茎叶</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4"/>
          <w:szCs w:val="24"/>
        </w:rPr>
        <w:t>、双飞蝴蝶</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蝙蝠草</w:t>
      </w:r>
      <w:r>
        <w:rPr>
          <w:rFonts w:hint="default" w:ascii="Times New Roman" w:hAnsi="Times New Roman" w:eastAsia="宋体" w:cs="Times New Roman"/>
          <w:i/>
          <w:iCs/>
          <w:color w:val="auto"/>
          <w:sz w:val="21"/>
          <w:szCs w:val="21"/>
        </w:rPr>
        <w:t>Christia vespertilionis</w:t>
      </w:r>
      <w:r>
        <w:rPr>
          <w:rFonts w:hint="default" w:ascii="Times New Roman" w:hAnsi="Times New Roman" w:eastAsia="宋体" w:cs="Times New Roman"/>
          <w:color w:val="auto"/>
          <w:sz w:val="21"/>
          <w:szCs w:val="21"/>
        </w:rPr>
        <w:t> (L.f.) Bahn.f.全草</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4"/>
          <w:szCs w:val="24"/>
        </w:rPr>
        <w:t>、广东石豆兰</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广东石豆兰</w:t>
      </w:r>
      <w:r>
        <w:rPr>
          <w:rFonts w:hint="default" w:ascii="Times New Roman" w:hAnsi="Times New Roman" w:eastAsia="宋体" w:cs="Times New Roman"/>
          <w:i/>
          <w:iCs/>
          <w:color w:val="auto"/>
          <w:sz w:val="21"/>
          <w:szCs w:val="21"/>
        </w:rPr>
        <w:t xml:space="preserve">Bulbophyllum kwangtungense </w:t>
      </w:r>
      <w:r>
        <w:rPr>
          <w:rFonts w:hint="default" w:ascii="Times New Roman" w:hAnsi="Times New Roman" w:eastAsia="宋体" w:cs="Times New Roman"/>
          <w:color w:val="auto"/>
          <w:sz w:val="21"/>
          <w:szCs w:val="21"/>
        </w:rPr>
        <w:t>Schltr.全草</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4"/>
          <w:szCs w:val="24"/>
        </w:rPr>
        <w:t>、青钱柳</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青钱柳</w:t>
      </w:r>
      <w:r>
        <w:rPr>
          <w:rFonts w:hint="default" w:ascii="Times New Roman" w:hAnsi="Times New Roman" w:eastAsia="宋体" w:cs="Times New Roman"/>
          <w:i/>
          <w:iCs/>
          <w:color w:val="auto"/>
          <w:sz w:val="21"/>
          <w:szCs w:val="21"/>
        </w:rPr>
        <w:t>Cyclocarya paliurus</w:t>
      </w:r>
      <w:r>
        <w:rPr>
          <w:rFonts w:hint="default" w:ascii="Times New Roman" w:hAnsi="Times New Roman" w:eastAsia="宋体" w:cs="Times New Roman"/>
          <w:color w:val="auto"/>
          <w:sz w:val="21"/>
          <w:szCs w:val="21"/>
        </w:rPr>
        <w:t> (Batal.) Iljinsk.叶</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4"/>
          <w:szCs w:val="24"/>
        </w:rPr>
        <w:t>、艳山姜</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艳山姜</w:t>
      </w:r>
      <w:r>
        <w:rPr>
          <w:rFonts w:hint="default" w:ascii="Times New Roman" w:hAnsi="Times New Roman" w:eastAsia="宋体" w:cs="Times New Roman"/>
          <w:i/>
          <w:iCs/>
          <w:color w:val="auto"/>
          <w:sz w:val="21"/>
          <w:szCs w:val="21"/>
        </w:rPr>
        <w:t>Alpinia zerumbet</w:t>
      </w:r>
      <w:r>
        <w:rPr>
          <w:rFonts w:hint="default" w:ascii="Times New Roman" w:hAnsi="Times New Roman" w:eastAsia="宋体" w:cs="Times New Roman"/>
          <w:color w:val="auto"/>
          <w:sz w:val="21"/>
          <w:szCs w:val="21"/>
        </w:rPr>
        <w:t> (Pers.) Burtt. et Smith果实</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4"/>
          <w:szCs w:val="24"/>
        </w:rPr>
        <w:t>、头花蓼</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头花蓼</w:t>
      </w:r>
      <w:r>
        <w:rPr>
          <w:rFonts w:hint="default" w:ascii="Times New Roman" w:hAnsi="Times New Roman" w:eastAsia="宋体" w:cs="Times New Roman"/>
          <w:i/>
          <w:color w:val="auto"/>
          <w:sz w:val="21"/>
          <w:szCs w:val="21"/>
        </w:rPr>
        <w:t>Polygonum capitatum</w:t>
      </w:r>
      <w:r>
        <w:rPr>
          <w:rFonts w:hint="default" w:ascii="Times New Roman" w:hAnsi="Times New Roman" w:eastAsia="宋体" w:cs="Times New Roman"/>
          <w:color w:val="auto"/>
          <w:sz w:val="21"/>
          <w:szCs w:val="21"/>
        </w:rPr>
        <w:t xml:space="preserve"> Buch. Ham.ex D.Don</w:t>
      </w:r>
      <w:r>
        <w:rPr>
          <w:rFonts w:hint="eastAsia" w:ascii="Times New Roman" w:hAnsi="Times New Roman" w:eastAsia="宋体" w:cs="Times New Roman"/>
          <w:color w:val="auto"/>
          <w:sz w:val="21"/>
          <w:szCs w:val="21"/>
          <w:lang w:val="en-US" w:eastAsia="zh-CN"/>
        </w:rPr>
        <w:t>全草</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4"/>
          <w:szCs w:val="24"/>
        </w:rPr>
        <w:t>、山苦荬</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中华小苦荬</w:t>
      </w:r>
      <w:r>
        <w:rPr>
          <w:rFonts w:hint="default" w:ascii="Times New Roman" w:hAnsi="Times New Roman" w:eastAsia="宋体" w:cs="Times New Roman"/>
          <w:i/>
          <w:iCs/>
          <w:color w:val="auto"/>
          <w:sz w:val="21"/>
          <w:szCs w:val="21"/>
        </w:rPr>
        <w:t>Ixeridium chinense</w:t>
      </w:r>
      <w:r>
        <w:rPr>
          <w:rFonts w:hint="default" w:ascii="Times New Roman" w:hAnsi="Times New Roman" w:eastAsia="宋体" w:cs="Times New Roman"/>
          <w:color w:val="auto"/>
          <w:sz w:val="21"/>
          <w:szCs w:val="21"/>
        </w:rPr>
        <w:t> (Thunb.) Tzvel.全草</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老虎芋</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尖尾芋</w:t>
      </w:r>
      <w:r>
        <w:rPr>
          <w:rFonts w:hint="default" w:ascii="Times New Roman" w:hAnsi="Times New Roman" w:eastAsia="宋体" w:cs="Times New Roman"/>
          <w:i/>
          <w:iCs/>
          <w:color w:val="auto"/>
          <w:sz w:val="21"/>
          <w:szCs w:val="21"/>
        </w:rPr>
        <w:t>Alocasia cucullata</w:t>
      </w:r>
      <w:r>
        <w:rPr>
          <w:rFonts w:hint="default" w:ascii="Times New Roman" w:hAnsi="Times New Roman" w:eastAsia="宋体" w:cs="Times New Roman"/>
          <w:color w:val="auto"/>
          <w:sz w:val="21"/>
          <w:szCs w:val="21"/>
        </w:rPr>
        <w:t> (Lour.) Schott块根</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铁皮石斛</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铁皮石斛</w:t>
      </w:r>
      <w:r>
        <w:rPr>
          <w:rFonts w:hint="default" w:ascii="Times New Roman" w:hAnsi="Times New Roman" w:eastAsia="宋体" w:cs="Times New Roman"/>
          <w:i/>
          <w:iCs/>
          <w:color w:val="auto"/>
          <w:sz w:val="21"/>
          <w:szCs w:val="21"/>
        </w:rPr>
        <w:t>Dendrobium officinale</w:t>
      </w:r>
      <w:r>
        <w:rPr>
          <w:rFonts w:hint="default" w:ascii="Times New Roman" w:hAnsi="Times New Roman" w:eastAsia="宋体" w:cs="Times New Roman"/>
          <w:color w:val="auto"/>
          <w:sz w:val="21"/>
          <w:szCs w:val="21"/>
        </w:rPr>
        <w:t xml:space="preserve"> Kimura et Migo干燥茎</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对叶百部</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i/>
          <w:iCs/>
          <w:color w:val="auto"/>
          <w:sz w:val="21"/>
          <w:szCs w:val="21"/>
          <w:lang w:eastAsia="zh-CN"/>
        </w:rPr>
        <w:t>Stemona tuberosa</w:t>
      </w:r>
      <w:r>
        <w:rPr>
          <w:rFonts w:hint="eastAsia" w:ascii="Times New Roman" w:hAnsi="Times New Roman" w:eastAsia="宋体" w:cs="Times New Roman"/>
          <w:color w:val="auto"/>
          <w:sz w:val="21"/>
          <w:szCs w:val="21"/>
          <w:lang w:eastAsia="zh-CN"/>
        </w:rPr>
        <w:t xml:space="preserve"> Lour.的干燥块根）</w:t>
      </w:r>
      <w:bookmarkStart w:id="3" w:name="_Hlk211528865"/>
      <w:r>
        <w:rPr>
          <w:rFonts w:hint="default" w:ascii="Times New Roman" w:hAnsi="Times New Roman" w:eastAsia="宋体" w:cs="Times New Roman"/>
          <w:color w:val="auto"/>
          <w:sz w:val="24"/>
          <w:szCs w:val="24"/>
        </w:rPr>
        <w:t>等广西常用的壮瑶药材开展研究</w:t>
      </w:r>
      <w:bookmarkEnd w:id="3"/>
    </w:p>
    <w:p>
      <w:pPr>
        <w:wordWrap w:val="0"/>
        <w:topLinePunct/>
        <w:autoSpaceDE w:val="0"/>
        <w:autoSpaceDN w:val="0"/>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1.多种方法对壮瑶药品种进行真伪优劣的鉴定研究；</w:t>
      </w:r>
    </w:p>
    <w:p>
      <w:pPr>
        <w:wordWrap w:val="0"/>
        <w:topLinePunct/>
        <w:autoSpaceDE w:val="0"/>
        <w:autoSpaceDN w:val="0"/>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2.遴选出高效优质的壮瑶药药用植物，进行种质繁育和快速繁殖，探索建立优质种源的途径和方法；</w:t>
      </w:r>
    </w:p>
    <w:p>
      <w:pPr>
        <w:wordWrap w:val="0"/>
        <w:topLinePunct/>
        <w:autoSpaceDE w:val="0"/>
        <w:autoSpaceDN w:val="0"/>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3.质量标准提升研究；</w:t>
      </w:r>
    </w:p>
    <w:p>
      <w:pPr>
        <w:wordWrap w:val="0"/>
        <w:topLinePunct/>
        <w:autoSpaceDE w:val="0"/>
        <w:autoSpaceDN w:val="0"/>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4.药效物质基础及质量控制研究；</w:t>
      </w:r>
    </w:p>
    <w:p>
      <w:pPr>
        <w:wordWrap w:val="0"/>
        <w:topLinePunct/>
        <w:autoSpaceDE w:val="0"/>
        <w:autoSpaceDN w:val="0"/>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5.药材的安全性评价研究，包括急性毒性实验和亚慢性毒性实验；</w:t>
      </w:r>
    </w:p>
    <w:p>
      <w:pPr>
        <w:wordWrap w:val="0"/>
        <w:topLinePunct/>
        <w:autoSpaceDE w:val="0"/>
        <w:autoSpaceDN w:val="0"/>
        <w:spacing w:line="360" w:lineRule="auto"/>
        <w:ind w:firstLine="480" w:firstLineChars="200"/>
        <w:jc w:val="left"/>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6.针对代谢性疾病、恶性肿瘤、肝脏疾病及糖尿病，筛选具有防治潜力的活性提取物或成分</w:t>
      </w:r>
      <w:r>
        <w:rPr>
          <w:rFonts w:hint="eastAsia" w:ascii="Times New Roman" w:hAnsi="Times New Roman" w:eastAsia="宋体" w:cs="Times New Roman"/>
          <w:color w:val="auto"/>
          <w:sz w:val="24"/>
          <w:szCs w:val="24"/>
          <w:lang w:eastAsia="zh-CN"/>
        </w:rPr>
        <w:t>；</w:t>
      </w:r>
    </w:p>
    <w:p>
      <w:pPr>
        <w:wordWrap w:val="0"/>
        <w:topLinePunct/>
        <w:autoSpaceDE w:val="0"/>
        <w:autoSpaceDN w:val="0"/>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6.药食同源壮瑶药新产品开发及质量标准研究；</w:t>
      </w:r>
    </w:p>
    <w:p>
      <w:pPr>
        <w:wordWrap w:val="0"/>
        <w:topLinePunct/>
        <w:autoSpaceDE w:val="0"/>
        <w:autoSpaceDN w:val="0"/>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7.瑶药三泡产品质量标准研究与产业开发。</w:t>
      </w:r>
    </w:p>
    <w:p>
      <w:pPr>
        <w:wordWrap w:val="0"/>
        <w:topLinePunct/>
        <w:autoSpaceDE w:val="0"/>
        <w:autoSpaceDN w:val="0"/>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二、围绕小驳骨</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i/>
          <w:iCs/>
          <w:color w:val="auto"/>
          <w:sz w:val="21"/>
          <w:szCs w:val="21"/>
          <w:lang w:eastAsia="zh-CN"/>
        </w:rPr>
        <w:t>Gendarussa vulgaris</w:t>
      </w:r>
      <w:r>
        <w:rPr>
          <w:rFonts w:hint="eastAsia" w:ascii="Times New Roman" w:hAnsi="Times New Roman" w:eastAsia="宋体" w:cs="Times New Roman"/>
          <w:color w:val="auto"/>
          <w:sz w:val="21"/>
          <w:szCs w:val="21"/>
          <w:lang w:eastAsia="zh-CN"/>
        </w:rPr>
        <w:t xml:space="preserve"> Nees干燥地上部分）</w:t>
      </w:r>
      <w:r>
        <w:rPr>
          <w:rFonts w:hint="default" w:ascii="Times New Roman" w:hAnsi="Times New Roman" w:eastAsia="宋体" w:cs="Times New Roman"/>
          <w:color w:val="auto"/>
          <w:sz w:val="24"/>
          <w:szCs w:val="24"/>
        </w:rPr>
        <w:t>、火炭母</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sz w:val="21"/>
          <w:szCs w:val="21"/>
        </w:rPr>
        <w:t>火炭母</w:t>
      </w:r>
      <w:r>
        <w:rPr>
          <w:rFonts w:hint="default" w:ascii="Times New Roman" w:hAnsi="Times New Roman" w:eastAsia="宋体" w:cs="Times New Roman"/>
          <w:i/>
          <w:iCs/>
          <w:sz w:val="21"/>
          <w:szCs w:val="21"/>
        </w:rPr>
        <w:t>Polygonum chinense</w:t>
      </w:r>
      <w:r>
        <w:rPr>
          <w:rFonts w:hint="default" w:ascii="Times New Roman" w:hAnsi="Times New Roman" w:eastAsia="宋体" w:cs="Times New Roman"/>
          <w:sz w:val="21"/>
          <w:szCs w:val="21"/>
        </w:rPr>
        <w:t> L.全草</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color w:val="auto"/>
          <w:sz w:val="24"/>
          <w:szCs w:val="24"/>
        </w:rPr>
        <w:t>、锡叶藤</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sz w:val="21"/>
          <w:szCs w:val="21"/>
        </w:rPr>
        <w:t>锡叶藤</w:t>
      </w:r>
      <w:r>
        <w:rPr>
          <w:rFonts w:hint="default" w:ascii="Times New Roman" w:hAnsi="Times New Roman" w:eastAsia="宋体" w:cs="Times New Roman"/>
          <w:i/>
          <w:iCs/>
          <w:sz w:val="21"/>
          <w:szCs w:val="21"/>
        </w:rPr>
        <w:t>Tetracera asiatica</w:t>
      </w:r>
      <w:r>
        <w:rPr>
          <w:rFonts w:hint="default" w:ascii="Times New Roman" w:hAnsi="Times New Roman" w:eastAsia="宋体" w:cs="Times New Roman"/>
          <w:sz w:val="21"/>
          <w:szCs w:val="21"/>
        </w:rPr>
        <w:t xml:space="preserve"> (Lour.) Hoogland</w:t>
      </w:r>
      <w:r>
        <w:rPr>
          <w:rFonts w:hint="eastAsia" w:ascii="Times New Roman" w:hAnsi="Times New Roman" w:eastAsia="宋体" w:cs="Times New Roman"/>
          <w:sz w:val="21"/>
          <w:szCs w:val="21"/>
          <w:lang w:val="en-US" w:eastAsia="zh-CN"/>
        </w:rPr>
        <w:t>根</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color w:val="auto"/>
          <w:sz w:val="24"/>
          <w:szCs w:val="24"/>
        </w:rPr>
        <w:t>等广西常用的壮瑶药材开展研究</w:t>
      </w:r>
    </w:p>
    <w:p>
      <w:pPr>
        <w:wordWrap w:val="0"/>
        <w:topLinePunct/>
        <w:autoSpaceDE w:val="0"/>
        <w:autoSpaceDN w:val="0"/>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1.瑶药材小驳骨指纹图谱及药效活性（解热抗炎、防治肝病、脓毒症等）谱效关系研究；</w:t>
      </w:r>
    </w:p>
    <w:p>
      <w:pPr>
        <w:wordWrap w:val="0"/>
        <w:topLinePunct/>
        <w:autoSpaceDE w:val="0"/>
        <w:autoSpaceDN w:val="0"/>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2.基于代谢组学或UPLC-QTRAP-MS技术对瑶药材小驳骨进行品质评价；</w:t>
      </w:r>
    </w:p>
    <w:p>
      <w:pPr>
        <w:wordWrap w:val="0"/>
        <w:topLinePunct/>
        <w:autoSpaceDE w:val="0"/>
        <w:autoSpaceDN w:val="0"/>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3.火炭母（解热抗炎、防治肝病、糖尿病、抗病毒等）药效物质基础研究；</w:t>
      </w:r>
    </w:p>
    <w:p>
      <w:pPr>
        <w:wordWrap w:val="0"/>
        <w:topLinePunct/>
        <w:autoSpaceDE w:val="0"/>
        <w:autoSpaceDN w:val="0"/>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4.壮药</w:t>
      </w:r>
      <w:bookmarkStart w:id="4" w:name="_Hlk211528855"/>
      <w:r>
        <w:rPr>
          <w:rFonts w:hint="default" w:ascii="Times New Roman" w:hAnsi="Times New Roman" w:eastAsia="宋体" w:cs="Times New Roman"/>
          <w:color w:val="auto"/>
          <w:sz w:val="24"/>
          <w:szCs w:val="24"/>
        </w:rPr>
        <w:t>锡叶藤</w:t>
      </w:r>
      <w:bookmarkEnd w:id="4"/>
      <w:r>
        <w:rPr>
          <w:rFonts w:hint="default" w:ascii="Times New Roman" w:hAnsi="Times New Roman" w:eastAsia="宋体" w:cs="Times New Roman"/>
          <w:color w:val="auto"/>
          <w:sz w:val="24"/>
          <w:szCs w:val="24"/>
        </w:rPr>
        <w:t>（解热抗炎、防治肝病、糖尿病、抗病毒等）药效物质基础研究；</w:t>
      </w:r>
    </w:p>
    <w:p>
      <w:pPr>
        <w:wordWrap w:val="0"/>
        <w:topLinePunct/>
        <w:autoSpaceDE w:val="0"/>
        <w:autoSpaceDN w:val="0"/>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5.基于代谢组学或UPLC-QTRAP-MS技术对火炭母进行品质评价。</w:t>
      </w:r>
    </w:p>
    <w:p>
      <w:pPr>
        <w:widowControl/>
        <w:spacing w:line="360" w:lineRule="auto"/>
        <w:ind w:firstLine="480" w:firstLineChars="200"/>
        <w:jc w:val="left"/>
        <w:rPr>
          <w:rFonts w:hint="default" w:ascii="Times New Roman" w:hAnsi="Times New Roman" w:eastAsia="宋体" w:cs="Times New Roman"/>
          <w:color w:val="5B9BD5" w:themeColor="accent1"/>
          <w:sz w:val="24"/>
          <w:szCs w:val="24"/>
          <w14:textFill>
            <w14:solidFill>
              <w14:schemeClr w14:val="accent1"/>
            </w14:solidFill>
          </w14:textFill>
        </w:rPr>
      </w:pPr>
      <w:r>
        <w:rPr>
          <w:rFonts w:hint="default" w:ascii="Times New Roman" w:hAnsi="Times New Roman" w:eastAsia="宋体" w:cs="Times New Roman"/>
          <w:color w:val="auto"/>
          <w:sz w:val="24"/>
          <w:szCs w:val="24"/>
        </w:rPr>
        <w:t>三、壮瑶药“产学研用金”融合研究，社会服务优势明显的项目；壮瑶药基础理论及文献研究、壮瑶药文化传承创新、壮瑶药国际交流合作等项目；壮瑶药人工智能研究项目等。</w:t>
      </w:r>
      <w:r>
        <w:rPr>
          <w:rFonts w:hint="default" w:ascii="Times New Roman" w:hAnsi="Times New Roman" w:eastAsia="宋体" w:cs="Times New Roman"/>
          <w:color w:val="5B9BD5" w:themeColor="accent1"/>
          <w:sz w:val="24"/>
          <w:szCs w:val="24"/>
          <w14:textFill>
            <w14:solidFill>
              <w14:schemeClr w14:val="accent1"/>
            </w14:solidFill>
          </w14:textFill>
        </w:rPr>
        <w:br w:type="page"/>
      </w:r>
    </w:p>
    <w:p>
      <w:pPr>
        <w:wordWrap w:val="0"/>
        <w:topLinePunct/>
        <w:autoSpaceDE w:val="0"/>
        <w:autoSpaceDN w:val="0"/>
        <w:spacing w:line="500" w:lineRule="exact"/>
        <w:ind w:firstLine="480" w:firstLineChars="200"/>
        <w:jc w:val="left"/>
        <w:rPr>
          <w:rFonts w:hint="default" w:ascii="Times New Roman" w:hAnsi="Times New Roman" w:eastAsia="宋体" w:cs="Times New Roman"/>
          <w:color w:val="5B9BD5" w:themeColor="accent1"/>
          <w:sz w:val="24"/>
          <w:szCs w:val="24"/>
          <w14:textFill>
            <w14:solidFill>
              <w14:schemeClr w14:val="accent1"/>
            </w14:solidFill>
          </w14:textFill>
        </w:rPr>
      </w:pPr>
      <w:r>
        <w:rPr>
          <w:rFonts w:hint="default" w:ascii="Times New Roman" w:hAnsi="Times New Roman" w:eastAsia="宋体" w:cs="Times New Roman"/>
          <w:color w:val="5B9BD5" w:themeColor="accent1"/>
          <w:sz w:val="24"/>
          <w:szCs w:val="24"/>
          <w14:textFill>
            <w14:solidFill>
              <w14:schemeClr w14:val="accent1"/>
            </w14:solidFill>
          </w14:textFill>
        </w:rPr>
        <w:t>1.三妹木（豆科植物美丽胡枝子</w:t>
      </w:r>
      <w:r>
        <w:rPr>
          <w:rFonts w:hint="default" w:ascii="Times New Roman" w:hAnsi="Times New Roman" w:eastAsia="宋体" w:cs="Times New Roman"/>
          <w:i/>
          <w:iCs/>
          <w:color w:val="5B9BD5" w:themeColor="accent1"/>
          <w:sz w:val="24"/>
          <w:szCs w:val="24"/>
          <w14:textFill>
            <w14:solidFill>
              <w14:schemeClr w14:val="accent1"/>
            </w14:solidFill>
          </w14:textFill>
        </w:rPr>
        <w:t>Lespedeza Formosa</w:t>
      </w:r>
      <w:r>
        <w:rPr>
          <w:rFonts w:hint="default" w:ascii="Times New Roman" w:hAnsi="Times New Roman" w:eastAsia="宋体" w:cs="Times New Roman"/>
          <w:color w:val="5B9BD5" w:themeColor="accent1"/>
          <w:sz w:val="24"/>
          <w:szCs w:val="24"/>
          <w14:textFill>
            <w14:solidFill>
              <w14:schemeClr w14:val="accent1"/>
            </w14:solidFill>
          </w14:textFill>
        </w:rPr>
        <w:t> Wight茎叶）DNA条形码研究</w:t>
      </w:r>
    </w:p>
    <w:p>
      <w:pPr>
        <w:wordWrap w:val="0"/>
        <w:topLinePunct/>
        <w:autoSpaceDE w:val="0"/>
        <w:autoSpaceDN w:val="0"/>
        <w:spacing w:line="5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2.山苦荬（菊科植物中华小苦荬</w:t>
      </w:r>
      <w:r>
        <w:rPr>
          <w:rFonts w:hint="default" w:ascii="Times New Roman" w:hAnsi="Times New Roman" w:eastAsia="宋体" w:cs="Times New Roman"/>
          <w:i/>
          <w:iCs/>
          <w:sz w:val="24"/>
          <w:szCs w:val="24"/>
        </w:rPr>
        <w:t>Ixeridium chinense</w:t>
      </w:r>
      <w:r>
        <w:rPr>
          <w:rFonts w:hint="default" w:ascii="Times New Roman" w:hAnsi="Times New Roman" w:eastAsia="宋体" w:cs="Times New Roman"/>
          <w:sz w:val="24"/>
          <w:szCs w:val="24"/>
        </w:rPr>
        <w:t> (Thunb.) Tzvel.全草）DNA条形码研究</w:t>
      </w:r>
    </w:p>
    <w:p>
      <w:pPr>
        <w:wordWrap w:val="0"/>
        <w:topLinePunct/>
        <w:autoSpaceDE w:val="0"/>
        <w:autoSpaceDN w:val="0"/>
        <w:spacing w:line="500" w:lineRule="exact"/>
        <w:ind w:firstLine="480" w:firstLineChars="200"/>
        <w:jc w:val="left"/>
        <w:rPr>
          <w:rFonts w:hint="default" w:ascii="Times New Roman" w:hAnsi="Times New Roman" w:eastAsia="宋体" w:cs="Times New Roman"/>
          <w:color w:val="5B9BD5" w:themeColor="accent1"/>
          <w:sz w:val="24"/>
          <w:szCs w:val="24"/>
          <w14:textFill>
            <w14:solidFill>
              <w14:schemeClr w14:val="accent1"/>
            </w14:solidFill>
          </w14:textFill>
        </w:rPr>
      </w:pPr>
      <w:r>
        <w:rPr>
          <w:rFonts w:hint="default" w:ascii="Times New Roman" w:hAnsi="Times New Roman" w:eastAsia="宋体" w:cs="Times New Roman"/>
          <w:color w:val="5B9BD5" w:themeColor="accent1"/>
          <w:sz w:val="24"/>
          <w:szCs w:val="24"/>
          <w14:textFill>
            <w14:solidFill>
              <w14:schemeClr w14:val="accent1"/>
            </w14:solidFill>
          </w14:textFill>
        </w:rPr>
        <w:t>3.老虎芋（天南星科植物尖尾芋</w:t>
      </w:r>
      <w:r>
        <w:rPr>
          <w:rFonts w:hint="default" w:ascii="Times New Roman" w:hAnsi="Times New Roman" w:eastAsia="宋体" w:cs="Times New Roman"/>
          <w:i/>
          <w:iCs/>
          <w:color w:val="5B9BD5" w:themeColor="accent1"/>
          <w:sz w:val="24"/>
          <w:szCs w:val="24"/>
          <w14:textFill>
            <w14:solidFill>
              <w14:schemeClr w14:val="accent1"/>
            </w14:solidFill>
          </w14:textFill>
        </w:rPr>
        <w:t>Alocasia cucullata</w:t>
      </w:r>
      <w:r>
        <w:rPr>
          <w:rFonts w:hint="default" w:ascii="Times New Roman" w:hAnsi="Times New Roman" w:eastAsia="宋体" w:cs="Times New Roman"/>
          <w:color w:val="5B9BD5" w:themeColor="accent1"/>
          <w:sz w:val="24"/>
          <w:szCs w:val="24"/>
          <w14:textFill>
            <w14:solidFill>
              <w14:schemeClr w14:val="accent1"/>
            </w14:solidFill>
          </w14:textFill>
        </w:rPr>
        <w:t> (Lour.) Schott块根）DNA条形码研究</w:t>
      </w:r>
    </w:p>
    <w:p>
      <w:pPr>
        <w:wordWrap w:val="0"/>
        <w:topLinePunct/>
        <w:autoSpaceDE w:val="0"/>
        <w:autoSpaceDN w:val="0"/>
        <w:spacing w:line="500" w:lineRule="exact"/>
        <w:ind w:firstLine="480" w:firstLineChars="200"/>
        <w:jc w:val="left"/>
        <w:rPr>
          <w:rFonts w:hint="default" w:ascii="Times New Roman" w:hAnsi="Times New Roman" w:eastAsia="宋体" w:cs="Times New Roman"/>
          <w:color w:val="5B9BD5" w:themeColor="accent1"/>
          <w:sz w:val="24"/>
          <w:szCs w:val="24"/>
          <w14:textFill>
            <w14:solidFill>
              <w14:schemeClr w14:val="accent1"/>
            </w14:solidFill>
          </w14:textFill>
        </w:rPr>
      </w:pPr>
      <w:r>
        <w:rPr>
          <w:rFonts w:hint="default" w:ascii="Times New Roman" w:hAnsi="Times New Roman" w:eastAsia="宋体" w:cs="Times New Roman"/>
          <w:color w:val="5B9BD5" w:themeColor="accent1"/>
          <w:sz w:val="24"/>
          <w:szCs w:val="24"/>
          <w14:textFill>
            <w14:solidFill>
              <w14:schemeClr w14:val="accent1"/>
            </w14:solidFill>
          </w14:textFill>
        </w:rPr>
        <w:t>4.广东石豆兰（兰科植物广东石豆兰</w:t>
      </w:r>
      <w:r>
        <w:rPr>
          <w:rFonts w:hint="default" w:ascii="Times New Roman" w:hAnsi="Times New Roman" w:eastAsia="宋体" w:cs="Times New Roman"/>
          <w:i/>
          <w:iCs/>
          <w:color w:val="5B9BD5" w:themeColor="accent1"/>
          <w:sz w:val="24"/>
          <w:szCs w:val="24"/>
          <w14:textFill>
            <w14:solidFill>
              <w14:schemeClr w14:val="accent1"/>
            </w14:solidFill>
          </w14:textFill>
        </w:rPr>
        <w:t xml:space="preserve">Bulbophyllum kwangtungense </w:t>
      </w:r>
      <w:r>
        <w:rPr>
          <w:rFonts w:hint="default" w:ascii="Times New Roman" w:hAnsi="Times New Roman" w:eastAsia="宋体" w:cs="Times New Roman"/>
          <w:color w:val="5B9BD5" w:themeColor="accent1"/>
          <w:sz w:val="24"/>
          <w:szCs w:val="24"/>
          <w14:textFill>
            <w14:solidFill>
              <w14:schemeClr w14:val="accent1"/>
            </w14:solidFill>
          </w14:textFill>
        </w:rPr>
        <w:t>Schltr.全草）DNA条形码研究</w:t>
      </w:r>
    </w:p>
    <w:p>
      <w:pPr>
        <w:wordWrap w:val="0"/>
        <w:topLinePunct/>
        <w:autoSpaceDE w:val="0"/>
        <w:autoSpaceDN w:val="0"/>
        <w:spacing w:line="5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5.火炭母（蓼科蓼属植物火炭母</w:t>
      </w:r>
      <w:r>
        <w:rPr>
          <w:rFonts w:hint="default" w:ascii="Times New Roman" w:hAnsi="Times New Roman" w:eastAsia="宋体" w:cs="Times New Roman"/>
          <w:i/>
          <w:iCs/>
          <w:sz w:val="24"/>
          <w:szCs w:val="24"/>
        </w:rPr>
        <w:t>Polygonum chinense</w:t>
      </w:r>
      <w:r>
        <w:rPr>
          <w:rFonts w:hint="default" w:ascii="Times New Roman" w:hAnsi="Times New Roman" w:eastAsia="宋体" w:cs="Times New Roman"/>
          <w:sz w:val="24"/>
          <w:szCs w:val="24"/>
        </w:rPr>
        <w:t> L.全草）DNA条形码研究</w:t>
      </w:r>
    </w:p>
    <w:p>
      <w:pPr>
        <w:wordWrap w:val="0"/>
        <w:topLinePunct/>
        <w:autoSpaceDE w:val="0"/>
        <w:autoSpaceDN w:val="0"/>
        <w:spacing w:line="500" w:lineRule="exact"/>
        <w:ind w:firstLine="480" w:firstLineChars="200"/>
        <w:jc w:val="left"/>
        <w:rPr>
          <w:rFonts w:hint="default" w:ascii="Times New Roman" w:hAnsi="Times New Roman" w:eastAsia="宋体" w:cs="Times New Roman"/>
          <w:color w:val="5B9BD5" w:themeColor="accent1"/>
          <w:sz w:val="24"/>
          <w:szCs w:val="24"/>
          <w14:textFill>
            <w14:solidFill>
              <w14:schemeClr w14:val="accent1"/>
            </w14:solidFill>
          </w14:textFill>
        </w:rPr>
      </w:pPr>
      <w:r>
        <w:rPr>
          <w:rFonts w:hint="default" w:ascii="Times New Roman" w:hAnsi="Times New Roman" w:eastAsia="宋体" w:cs="Times New Roman"/>
          <w:color w:val="5B9BD5" w:themeColor="accent1"/>
          <w:sz w:val="24"/>
          <w:szCs w:val="24"/>
          <w14:textFill>
            <w14:solidFill>
              <w14:schemeClr w14:val="accent1"/>
            </w14:solidFill>
          </w14:textFill>
        </w:rPr>
        <w:t>6.艳山姜（姜科植物艳山姜</w:t>
      </w:r>
      <w:r>
        <w:rPr>
          <w:rFonts w:hint="default" w:ascii="Times New Roman" w:hAnsi="Times New Roman" w:eastAsia="宋体" w:cs="Times New Roman"/>
          <w:i/>
          <w:iCs/>
          <w:color w:val="5B9BD5" w:themeColor="accent1"/>
          <w:sz w:val="24"/>
          <w:szCs w:val="24"/>
          <w14:textFill>
            <w14:solidFill>
              <w14:schemeClr w14:val="accent1"/>
            </w14:solidFill>
          </w14:textFill>
        </w:rPr>
        <w:t>Alpinia zerumbet</w:t>
      </w:r>
      <w:r>
        <w:rPr>
          <w:rFonts w:hint="default" w:ascii="Times New Roman" w:hAnsi="Times New Roman" w:eastAsia="宋体" w:cs="Times New Roman"/>
          <w:color w:val="5B9BD5" w:themeColor="accent1"/>
          <w:sz w:val="24"/>
          <w:szCs w:val="24"/>
          <w14:textFill>
            <w14:solidFill>
              <w14:schemeClr w14:val="accent1"/>
            </w14:solidFill>
          </w14:textFill>
        </w:rPr>
        <w:t> (Pers.) Burtt. et Smith果实）DNA条形码研究</w:t>
      </w:r>
    </w:p>
    <w:p>
      <w:pPr>
        <w:wordWrap w:val="0"/>
        <w:topLinePunct/>
        <w:autoSpaceDE w:val="0"/>
        <w:autoSpaceDN w:val="0"/>
        <w:spacing w:line="5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7.头花蓼（蓼科植物头花蓼</w:t>
      </w:r>
      <w:r>
        <w:rPr>
          <w:rFonts w:hint="default" w:ascii="Times New Roman" w:hAnsi="Times New Roman" w:eastAsia="宋体" w:cs="Times New Roman"/>
          <w:i/>
          <w:sz w:val="24"/>
          <w:szCs w:val="24"/>
        </w:rPr>
        <w:t>Polygonum capitatum</w:t>
      </w:r>
      <w:r>
        <w:rPr>
          <w:rFonts w:hint="default" w:ascii="Times New Roman" w:hAnsi="Times New Roman" w:eastAsia="宋体" w:cs="Times New Roman"/>
          <w:sz w:val="24"/>
          <w:szCs w:val="24"/>
        </w:rPr>
        <w:t xml:space="preserve"> Buch. Ham.ex D.Don）DNA条形码研究</w:t>
      </w:r>
    </w:p>
    <w:p>
      <w:pPr>
        <w:wordWrap w:val="0"/>
        <w:topLinePunct/>
        <w:autoSpaceDE w:val="0"/>
        <w:autoSpaceDN w:val="0"/>
        <w:spacing w:line="5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8.铁皮石斛（兰科石斛属植物铁皮石斛</w:t>
      </w:r>
      <w:r>
        <w:rPr>
          <w:rFonts w:hint="default" w:ascii="Times New Roman" w:hAnsi="Times New Roman" w:eastAsia="宋体" w:cs="Times New Roman"/>
          <w:i/>
          <w:iCs/>
          <w:sz w:val="24"/>
          <w:szCs w:val="24"/>
        </w:rPr>
        <w:t>Dendrobium officinale</w:t>
      </w:r>
      <w:r>
        <w:rPr>
          <w:rFonts w:hint="default" w:ascii="Times New Roman" w:hAnsi="Times New Roman" w:eastAsia="宋体" w:cs="Times New Roman"/>
          <w:sz w:val="24"/>
          <w:szCs w:val="24"/>
        </w:rPr>
        <w:t xml:space="preserve"> Kimura et Migo干燥茎）多糖合成途径关键酶尿苷二磷酸葡萄糖焦磷酸化酶（UGPase）基因的克隆及其功能分析</w:t>
      </w:r>
    </w:p>
    <w:p>
      <w:pPr>
        <w:wordWrap w:val="0"/>
        <w:topLinePunct/>
        <w:autoSpaceDE w:val="0"/>
        <w:autoSpaceDN w:val="0"/>
        <w:spacing w:line="5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9.铁皮石斛（兰科石斛属植物铁皮石斛</w:t>
      </w:r>
      <w:r>
        <w:rPr>
          <w:rFonts w:hint="default" w:ascii="Times New Roman" w:hAnsi="Times New Roman" w:eastAsia="宋体" w:cs="Times New Roman"/>
          <w:i/>
          <w:iCs/>
          <w:sz w:val="24"/>
          <w:szCs w:val="24"/>
        </w:rPr>
        <w:t>Dendrobium officinale</w:t>
      </w:r>
      <w:r>
        <w:rPr>
          <w:rFonts w:hint="default" w:ascii="Times New Roman" w:hAnsi="Times New Roman" w:eastAsia="宋体" w:cs="Times New Roman"/>
          <w:sz w:val="24"/>
          <w:szCs w:val="24"/>
        </w:rPr>
        <w:t xml:space="preserve"> Kimura et Migo干燥茎）UGPase基因原核表达載体的构建及重组蛋白的诱导表达与纯化</w:t>
      </w:r>
    </w:p>
    <w:p>
      <w:pPr>
        <w:wordWrap w:val="0"/>
        <w:topLinePunct/>
        <w:autoSpaceDE w:val="0"/>
        <w:autoSpaceDN w:val="0"/>
        <w:spacing w:line="5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10.基于不同光照处理的超表达铁皮石斛（兰科石斛属植物铁皮石斛</w:t>
      </w:r>
      <w:r>
        <w:rPr>
          <w:rFonts w:hint="default" w:ascii="Times New Roman" w:hAnsi="Times New Roman" w:eastAsia="宋体" w:cs="Times New Roman"/>
          <w:i/>
          <w:iCs/>
          <w:sz w:val="24"/>
          <w:szCs w:val="24"/>
        </w:rPr>
        <w:t>Dendrobium officinale</w:t>
      </w:r>
      <w:r>
        <w:rPr>
          <w:rFonts w:hint="default" w:ascii="Times New Roman" w:hAnsi="Times New Roman" w:eastAsia="宋体" w:cs="Times New Roman"/>
          <w:sz w:val="24"/>
          <w:szCs w:val="24"/>
        </w:rPr>
        <w:t xml:space="preserve"> Kimura et Migo干燥茎）UGPase 基因蛋白大肠杆菌的耐受性分析</w:t>
      </w:r>
    </w:p>
    <w:p>
      <w:pPr>
        <w:wordWrap w:val="0"/>
        <w:topLinePunct/>
        <w:autoSpaceDE w:val="0"/>
        <w:autoSpaceDN w:val="0"/>
        <w:spacing w:line="5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11.光照对铁皮石斛（兰科石斛属植物铁皮石斛</w:t>
      </w:r>
      <w:r>
        <w:rPr>
          <w:rFonts w:hint="default" w:ascii="Times New Roman" w:hAnsi="Times New Roman" w:eastAsia="宋体" w:cs="Times New Roman"/>
          <w:i/>
          <w:iCs/>
          <w:sz w:val="24"/>
          <w:szCs w:val="24"/>
        </w:rPr>
        <w:t>Dendrobium officinale</w:t>
      </w:r>
      <w:r>
        <w:rPr>
          <w:rFonts w:hint="default" w:ascii="Times New Roman" w:hAnsi="Times New Roman" w:eastAsia="宋体" w:cs="Times New Roman"/>
          <w:sz w:val="24"/>
          <w:szCs w:val="24"/>
        </w:rPr>
        <w:t xml:space="preserve"> Kimura et Migo干燥茎）多糖合成途径关键酶尿苷二磷酸葡萄糖焦磷酸化酶（UGPase）基因的挖掘与差异表达的影响</w:t>
      </w:r>
    </w:p>
    <w:p>
      <w:pPr>
        <w:wordWrap w:val="0"/>
        <w:topLinePunct/>
        <w:autoSpaceDE w:val="0"/>
        <w:autoSpaceDN w:val="0"/>
        <w:spacing w:line="500" w:lineRule="exact"/>
        <w:jc w:val="left"/>
        <w:rPr>
          <w:rFonts w:hint="default" w:ascii="Times New Roman" w:hAnsi="Times New Roman" w:eastAsia="宋体" w:cs="Times New Roman"/>
          <w:sz w:val="24"/>
          <w:szCs w:val="24"/>
        </w:rPr>
      </w:pPr>
    </w:p>
    <w:p>
      <w:pPr>
        <w:wordWrap w:val="0"/>
        <w:topLinePunct/>
        <w:autoSpaceDE w:val="0"/>
        <w:autoSpaceDN w:val="0"/>
        <w:spacing w:line="500" w:lineRule="exact"/>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研究方向二：壮瑶药物质基础与质量控制研究</w:t>
      </w:r>
    </w:p>
    <w:p>
      <w:pPr>
        <w:wordWrap w:val="0"/>
        <w:topLinePunct/>
        <w:autoSpaceDE w:val="0"/>
        <w:autoSpaceDN w:val="0"/>
        <w:spacing w:line="500" w:lineRule="exact"/>
        <w:jc w:val="left"/>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w:t>选题内容：</w:t>
      </w:r>
    </w:p>
    <w:p>
      <w:pPr>
        <w:wordWrap w:val="0"/>
        <w:topLinePunct/>
        <w:autoSpaceDE w:val="0"/>
        <w:autoSpaceDN w:val="0"/>
        <w:spacing w:line="500" w:lineRule="exact"/>
        <w:ind w:firstLine="480" w:firstLineChars="200"/>
        <w:jc w:val="left"/>
        <w:rPr>
          <w:rFonts w:hint="default" w:ascii="Times New Roman" w:hAnsi="Times New Roman" w:eastAsia="宋体" w:cs="Times New Roman"/>
          <w:color w:val="5B9BD5" w:themeColor="accent1"/>
          <w:sz w:val="24"/>
          <w:szCs w:val="24"/>
          <w14:textFill>
            <w14:solidFill>
              <w14:schemeClr w14:val="accent1"/>
            </w14:solidFill>
          </w14:textFill>
        </w:rPr>
      </w:pPr>
      <w:r>
        <w:rPr>
          <w:rFonts w:hint="default" w:ascii="Times New Roman" w:hAnsi="Times New Roman" w:eastAsia="宋体" w:cs="Times New Roman"/>
          <w:color w:val="5B9BD5" w:themeColor="accent1"/>
          <w:sz w:val="24"/>
          <w:szCs w:val="24"/>
          <w14:textFill>
            <w14:solidFill>
              <w14:schemeClr w14:val="accent1"/>
            </w14:solidFill>
          </w14:textFill>
        </w:rPr>
        <w:t>1.青钱柳（胡桃科植物青钱柳</w:t>
      </w:r>
      <w:r>
        <w:rPr>
          <w:rFonts w:hint="default" w:ascii="Times New Roman" w:hAnsi="Times New Roman" w:eastAsia="宋体" w:cs="Times New Roman"/>
          <w:i/>
          <w:iCs/>
          <w:color w:val="5B9BD5" w:themeColor="accent1"/>
          <w:sz w:val="24"/>
          <w:szCs w:val="24"/>
          <w14:textFill>
            <w14:solidFill>
              <w14:schemeClr w14:val="accent1"/>
            </w14:solidFill>
          </w14:textFill>
        </w:rPr>
        <w:t>Cyclocarya paliurus</w:t>
      </w:r>
      <w:r>
        <w:rPr>
          <w:rFonts w:hint="default" w:ascii="Times New Roman" w:hAnsi="Times New Roman" w:eastAsia="宋体" w:cs="Times New Roman"/>
          <w:color w:val="5B9BD5" w:themeColor="accent1"/>
          <w:sz w:val="24"/>
          <w:szCs w:val="24"/>
          <w14:textFill>
            <w14:solidFill>
              <w14:schemeClr w14:val="accent1"/>
            </w14:solidFill>
          </w14:textFill>
        </w:rPr>
        <w:t> (Batal.) Iljinsk.叶）药效物质基础研究及标志成分标准对照品制备</w:t>
      </w:r>
    </w:p>
    <w:p>
      <w:pPr>
        <w:wordWrap w:val="0"/>
        <w:topLinePunct/>
        <w:autoSpaceDE w:val="0"/>
        <w:autoSpaceDN w:val="0"/>
        <w:spacing w:line="500" w:lineRule="exact"/>
        <w:ind w:firstLine="480" w:firstLineChars="200"/>
        <w:jc w:val="left"/>
        <w:rPr>
          <w:rFonts w:hint="default" w:ascii="Times New Roman" w:hAnsi="Times New Roman" w:eastAsia="宋体" w:cs="Times New Roman"/>
          <w:color w:val="5B9BD5" w:themeColor="accent1"/>
          <w:sz w:val="24"/>
          <w:szCs w:val="24"/>
          <w14:textFill>
            <w14:solidFill>
              <w14:schemeClr w14:val="accent1"/>
            </w14:solidFill>
          </w14:textFill>
        </w:rPr>
      </w:pPr>
      <w:r>
        <w:rPr>
          <w:rFonts w:hint="default" w:ascii="Times New Roman" w:hAnsi="Times New Roman" w:eastAsia="宋体" w:cs="Times New Roman"/>
          <w:color w:val="5B9BD5" w:themeColor="accent1"/>
          <w:sz w:val="24"/>
          <w:szCs w:val="24"/>
          <w14:textFill>
            <w14:solidFill>
              <w14:schemeClr w14:val="accent1"/>
            </w14:solidFill>
          </w14:textFill>
        </w:rPr>
        <w:t>2.老虎芋（天南星科植物尖尾芋</w:t>
      </w:r>
      <w:r>
        <w:rPr>
          <w:rFonts w:hint="default" w:ascii="Times New Roman" w:hAnsi="Times New Roman" w:eastAsia="宋体" w:cs="Times New Roman"/>
          <w:i/>
          <w:iCs/>
          <w:color w:val="5B9BD5" w:themeColor="accent1"/>
          <w:sz w:val="24"/>
          <w:szCs w:val="24"/>
          <w14:textFill>
            <w14:solidFill>
              <w14:schemeClr w14:val="accent1"/>
            </w14:solidFill>
          </w14:textFill>
        </w:rPr>
        <w:t>Alocasia cucullata</w:t>
      </w:r>
      <w:r>
        <w:rPr>
          <w:rFonts w:hint="default" w:ascii="Times New Roman" w:hAnsi="Times New Roman" w:eastAsia="宋体" w:cs="Times New Roman"/>
          <w:color w:val="5B9BD5" w:themeColor="accent1"/>
          <w:sz w:val="24"/>
          <w:szCs w:val="24"/>
          <w14:textFill>
            <w14:solidFill>
              <w14:schemeClr w14:val="accent1"/>
            </w14:solidFill>
          </w14:textFill>
        </w:rPr>
        <w:t> (Lour.) Schott块根）药效物质基础研究及标志成分标准对照品制备</w:t>
      </w:r>
    </w:p>
    <w:p>
      <w:pPr>
        <w:wordWrap w:val="0"/>
        <w:topLinePunct/>
        <w:autoSpaceDE w:val="0"/>
        <w:autoSpaceDN w:val="0"/>
        <w:spacing w:line="500" w:lineRule="exact"/>
        <w:ind w:firstLine="480" w:firstLineChars="200"/>
        <w:jc w:val="left"/>
        <w:rPr>
          <w:rFonts w:hint="default" w:ascii="Times New Roman" w:hAnsi="Times New Roman" w:eastAsia="宋体" w:cs="Times New Roman"/>
          <w:color w:val="5B9BD5" w:themeColor="accent1"/>
          <w:sz w:val="24"/>
          <w:szCs w:val="24"/>
          <w14:textFill>
            <w14:solidFill>
              <w14:schemeClr w14:val="accent1"/>
            </w14:solidFill>
          </w14:textFill>
        </w:rPr>
      </w:pPr>
      <w:r>
        <w:rPr>
          <w:rFonts w:hint="default" w:ascii="Times New Roman" w:hAnsi="Times New Roman" w:eastAsia="宋体" w:cs="Times New Roman"/>
          <w:color w:val="5B9BD5" w:themeColor="accent1"/>
          <w:sz w:val="24"/>
          <w:szCs w:val="24"/>
          <w14:textFill>
            <w14:solidFill>
              <w14:schemeClr w14:val="accent1"/>
            </w14:solidFill>
          </w14:textFill>
        </w:rPr>
        <w:t>3.广东石豆兰（兰科植物广东石豆兰</w:t>
      </w:r>
      <w:r>
        <w:rPr>
          <w:rFonts w:hint="default" w:ascii="Times New Roman" w:hAnsi="Times New Roman" w:eastAsia="宋体" w:cs="Times New Roman"/>
          <w:i/>
          <w:iCs/>
          <w:color w:val="5B9BD5" w:themeColor="accent1"/>
          <w:sz w:val="24"/>
          <w:szCs w:val="24"/>
          <w14:textFill>
            <w14:solidFill>
              <w14:schemeClr w14:val="accent1"/>
            </w14:solidFill>
          </w14:textFill>
        </w:rPr>
        <w:t xml:space="preserve">Bulbophyllum kwangtungense </w:t>
      </w:r>
      <w:r>
        <w:rPr>
          <w:rFonts w:hint="default" w:ascii="Times New Roman" w:hAnsi="Times New Roman" w:eastAsia="宋体" w:cs="Times New Roman"/>
          <w:color w:val="5B9BD5" w:themeColor="accent1"/>
          <w:sz w:val="24"/>
          <w:szCs w:val="24"/>
          <w14:textFill>
            <w14:solidFill>
              <w14:schemeClr w14:val="accent1"/>
            </w14:solidFill>
          </w14:textFill>
        </w:rPr>
        <w:t>Schltr.全草）药效物质基础研究及标志成分标准对照品制备</w:t>
      </w:r>
    </w:p>
    <w:p>
      <w:pPr>
        <w:wordWrap w:val="0"/>
        <w:topLinePunct/>
        <w:autoSpaceDE w:val="0"/>
        <w:autoSpaceDN w:val="0"/>
        <w:spacing w:line="5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4.头花蓼（蓼科植物头花蓼</w:t>
      </w:r>
      <w:r>
        <w:rPr>
          <w:rFonts w:hint="default" w:ascii="Times New Roman" w:hAnsi="Times New Roman" w:eastAsia="宋体" w:cs="Times New Roman"/>
          <w:i/>
          <w:sz w:val="24"/>
          <w:szCs w:val="24"/>
        </w:rPr>
        <w:t>Polygonum capitatum</w:t>
      </w:r>
      <w:r>
        <w:rPr>
          <w:rFonts w:hint="default" w:ascii="Times New Roman" w:hAnsi="Times New Roman" w:eastAsia="宋体" w:cs="Times New Roman"/>
          <w:sz w:val="24"/>
          <w:szCs w:val="24"/>
        </w:rPr>
        <w:t xml:space="preserve"> Buch. Ham.ex D.Don）药效物质基础研究及标志成分标准对照品制备</w:t>
      </w:r>
    </w:p>
    <w:p>
      <w:pPr>
        <w:wordWrap w:val="0"/>
        <w:topLinePunct/>
        <w:autoSpaceDE w:val="0"/>
        <w:autoSpaceDN w:val="0"/>
        <w:spacing w:line="5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5.三妹木（豆科植物美丽胡枝子</w:t>
      </w:r>
      <w:r>
        <w:rPr>
          <w:rFonts w:hint="default" w:ascii="Times New Roman" w:hAnsi="Times New Roman" w:eastAsia="宋体" w:cs="Times New Roman"/>
          <w:i/>
          <w:iCs/>
          <w:sz w:val="24"/>
          <w:szCs w:val="24"/>
        </w:rPr>
        <w:t>Lespedeza Formosa</w:t>
      </w:r>
      <w:r>
        <w:rPr>
          <w:rFonts w:hint="default" w:ascii="Times New Roman" w:hAnsi="Times New Roman" w:eastAsia="宋体" w:cs="Times New Roman"/>
          <w:sz w:val="24"/>
          <w:szCs w:val="24"/>
        </w:rPr>
        <w:t> Wight茎叶）药效物质基础研究及标志成分标准对照品制备</w:t>
      </w:r>
    </w:p>
    <w:p>
      <w:pPr>
        <w:wordWrap w:val="0"/>
        <w:topLinePunct/>
        <w:autoSpaceDE w:val="0"/>
        <w:autoSpaceDN w:val="0"/>
        <w:spacing w:line="5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6.山苦荬（菊科植物中华小苦荬</w:t>
      </w:r>
      <w:r>
        <w:rPr>
          <w:rFonts w:hint="default" w:ascii="Times New Roman" w:hAnsi="Times New Roman" w:eastAsia="宋体" w:cs="Times New Roman"/>
          <w:i/>
          <w:iCs/>
          <w:sz w:val="24"/>
          <w:szCs w:val="24"/>
        </w:rPr>
        <w:t>Ixeridium chinense</w:t>
      </w:r>
      <w:r>
        <w:rPr>
          <w:rFonts w:hint="default" w:ascii="Times New Roman" w:hAnsi="Times New Roman" w:eastAsia="宋体" w:cs="Times New Roman"/>
          <w:sz w:val="24"/>
          <w:szCs w:val="24"/>
        </w:rPr>
        <w:t> (Thunb.) Tzvel.全草）药效物质基础研究及标志成分标准对照品制备</w:t>
      </w:r>
    </w:p>
    <w:p>
      <w:pPr>
        <w:wordWrap w:val="0"/>
        <w:topLinePunct/>
        <w:autoSpaceDE w:val="0"/>
        <w:autoSpaceDN w:val="0"/>
        <w:spacing w:line="5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7.艳山姜（姜科植物艳山姜</w:t>
      </w:r>
      <w:r>
        <w:rPr>
          <w:rFonts w:hint="default" w:ascii="Times New Roman" w:hAnsi="Times New Roman" w:eastAsia="宋体" w:cs="Times New Roman"/>
          <w:i/>
          <w:iCs/>
          <w:sz w:val="24"/>
          <w:szCs w:val="24"/>
        </w:rPr>
        <w:t>Alpinia zerumbet</w:t>
      </w:r>
      <w:r>
        <w:rPr>
          <w:rFonts w:hint="default" w:ascii="Times New Roman" w:hAnsi="Times New Roman" w:eastAsia="宋体" w:cs="Times New Roman"/>
          <w:sz w:val="24"/>
          <w:szCs w:val="24"/>
        </w:rPr>
        <w:t> (Pers.) Burtt. et Smith果实）药效物质基础研究及标志成分标准对照品制备</w:t>
      </w:r>
    </w:p>
    <w:p>
      <w:pPr>
        <w:wordWrap w:val="0"/>
        <w:topLinePunct/>
        <w:autoSpaceDE w:val="0"/>
        <w:autoSpaceDN w:val="0"/>
        <w:spacing w:line="5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8.白背三七（菊科植物白子菜</w:t>
      </w:r>
      <w:r>
        <w:rPr>
          <w:rFonts w:hint="default" w:ascii="Times New Roman" w:hAnsi="Times New Roman" w:eastAsia="宋体" w:cs="Times New Roman"/>
          <w:i/>
          <w:iCs/>
          <w:sz w:val="24"/>
          <w:szCs w:val="24"/>
        </w:rPr>
        <w:t>Gynura divaricata</w:t>
      </w:r>
      <w:r>
        <w:rPr>
          <w:rFonts w:hint="default" w:ascii="Times New Roman" w:hAnsi="Times New Roman" w:eastAsia="宋体" w:cs="Times New Roman"/>
          <w:sz w:val="24"/>
          <w:szCs w:val="24"/>
        </w:rPr>
        <w:t> (L.) DC. 全草）药效物质基础研究及标志成分标准对照品制备</w:t>
      </w:r>
    </w:p>
    <w:p>
      <w:pPr>
        <w:wordWrap w:val="0"/>
        <w:topLinePunct/>
        <w:autoSpaceDE w:val="0"/>
        <w:autoSpaceDN w:val="0"/>
        <w:spacing w:line="5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9.犁头草（堇菜科植物长萼堇菜</w:t>
      </w:r>
      <w:r>
        <w:rPr>
          <w:rFonts w:hint="default" w:ascii="Times New Roman" w:hAnsi="Times New Roman" w:eastAsia="宋体" w:cs="Times New Roman"/>
          <w:i/>
          <w:iCs/>
          <w:sz w:val="24"/>
          <w:szCs w:val="24"/>
        </w:rPr>
        <w:t>Viola inconspicua</w:t>
      </w:r>
      <w:r>
        <w:rPr>
          <w:rFonts w:hint="default" w:ascii="Times New Roman" w:hAnsi="Times New Roman" w:eastAsia="宋体" w:cs="Times New Roman"/>
          <w:sz w:val="24"/>
          <w:szCs w:val="24"/>
        </w:rPr>
        <w:t> Blume.全草）药效物质基础研究及标志成分标准对照品制备</w:t>
      </w:r>
    </w:p>
    <w:p>
      <w:pPr>
        <w:wordWrap w:val="0"/>
        <w:topLinePunct/>
        <w:autoSpaceDE w:val="0"/>
        <w:autoSpaceDN w:val="0"/>
        <w:spacing w:line="5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10.双飞蝴蝶（豆科植物蝙蝠草</w:t>
      </w:r>
      <w:r>
        <w:rPr>
          <w:rFonts w:hint="default" w:ascii="Times New Roman" w:hAnsi="Times New Roman" w:eastAsia="宋体" w:cs="Times New Roman"/>
          <w:i/>
          <w:iCs/>
          <w:sz w:val="24"/>
          <w:szCs w:val="24"/>
        </w:rPr>
        <w:t>Christia vespertilionis</w:t>
      </w:r>
      <w:r>
        <w:rPr>
          <w:rFonts w:hint="default" w:ascii="Times New Roman" w:hAnsi="Times New Roman" w:eastAsia="宋体" w:cs="Times New Roman"/>
          <w:sz w:val="24"/>
          <w:szCs w:val="24"/>
        </w:rPr>
        <w:t> (L.f.) Bahn.f.全草）药效物质基础研究及标志成分标准对照品制备</w:t>
      </w:r>
    </w:p>
    <w:p>
      <w:pPr>
        <w:wordWrap w:val="0"/>
        <w:topLinePunct/>
        <w:autoSpaceDE w:val="0"/>
        <w:autoSpaceDN w:val="0"/>
        <w:spacing w:line="5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11.锡叶藤（五桠果科植物锡叶藤</w:t>
      </w:r>
      <w:r>
        <w:rPr>
          <w:rFonts w:hint="default" w:ascii="Times New Roman" w:hAnsi="Times New Roman" w:eastAsia="宋体" w:cs="Times New Roman"/>
          <w:i/>
          <w:iCs/>
          <w:sz w:val="24"/>
          <w:szCs w:val="24"/>
        </w:rPr>
        <w:t>Tetracera asiatica</w:t>
      </w:r>
      <w:r>
        <w:rPr>
          <w:rFonts w:hint="default" w:ascii="Times New Roman" w:hAnsi="Times New Roman" w:eastAsia="宋体" w:cs="Times New Roman"/>
          <w:sz w:val="24"/>
          <w:szCs w:val="24"/>
        </w:rPr>
        <w:t xml:space="preserve"> (Lour.) Hoogland）质量标准研究及活性部位筛选</w:t>
      </w:r>
    </w:p>
    <w:p>
      <w:pPr>
        <w:wordWrap w:val="0"/>
        <w:topLinePunct/>
        <w:autoSpaceDE w:val="0"/>
        <w:autoSpaceDN w:val="0"/>
        <w:spacing w:line="5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12.拳卷地钱（地钱科植物拳卷地钱</w:t>
      </w:r>
      <w:r>
        <w:rPr>
          <w:rFonts w:hint="default" w:ascii="Times New Roman" w:hAnsi="Times New Roman" w:eastAsia="宋体" w:cs="Times New Roman"/>
          <w:i/>
          <w:iCs/>
          <w:sz w:val="24"/>
          <w:szCs w:val="24"/>
        </w:rPr>
        <w:t>Marchantia convoluta</w:t>
      </w:r>
      <w:r>
        <w:rPr>
          <w:rFonts w:hint="default" w:ascii="Times New Roman" w:hAnsi="Times New Roman" w:eastAsia="宋体" w:cs="Times New Roman"/>
          <w:sz w:val="24"/>
          <w:szCs w:val="24"/>
        </w:rPr>
        <w:t xml:space="preserve"> Gao et Chang）质量标准研究及活性部位筛选</w:t>
      </w:r>
    </w:p>
    <w:p>
      <w:pPr>
        <w:wordWrap w:val="0"/>
        <w:topLinePunct/>
        <w:autoSpaceDE w:val="0"/>
        <w:autoSpaceDN w:val="0"/>
        <w:spacing w:line="5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13.火炭母（蓼科植物火炭母</w:t>
      </w:r>
      <w:r>
        <w:rPr>
          <w:rFonts w:hint="default" w:ascii="Times New Roman" w:hAnsi="Times New Roman" w:eastAsia="宋体" w:cs="Times New Roman"/>
          <w:i/>
          <w:iCs/>
          <w:sz w:val="24"/>
          <w:szCs w:val="24"/>
        </w:rPr>
        <w:t>Polygonum chinense</w:t>
      </w:r>
      <w:r>
        <w:rPr>
          <w:rFonts w:hint="default" w:ascii="Times New Roman" w:hAnsi="Times New Roman" w:eastAsia="宋体" w:cs="Times New Roman"/>
          <w:sz w:val="24"/>
          <w:szCs w:val="24"/>
        </w:rPr>
        <w:t xml:space="preserve"> L.）质量标准研究及活性部位筛选</w:t>
      </w:r>
    </w:p>
    <w:p>
      <w:pPr>
        <w:wordWrap w:val="0"/>
        <w:topLinePunct/>
        <w:autoSpaceDE w:val="0"/>
        <w:autoSpaceDN w:val="0"/>
        <w:spacing w:line="500" w:lineRule="exact"/>
        <w:jc w:val="left"/>
        <w:rPr>
          <w:rFonts w:hint="default" w:ascii="Times New Roman" w:hAnsi="Times New Roman" w:eastAsia="宋体" w:cs="Times New Roman"/>
          <w:sz w:val="24"/>
          <w:szCs w:val="24"/>
        </w:rPr>
      </w:pPr>
    </w:p>
    <w:p>
      <w:pPr>
        <w:wordWrap w:val="0"/>
        <w:topLinePunct/>
        <w:autoSpaceDE w:val="0"/>
        <w:autoSpaceDN w:val="0"/>
        <w:spacing w:line="500" w:lineRule="exact"/>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研究方向三：壮瑶药筛选与安全性评价的基础研究</w:t>
      </w:r>
    </w:p>
    <w:p>
      <w:pPr>
        <w:wordWrap w:val="0"/>
        <w:topLinePunct/>
        <w:autoSpaceDE w:val="0"/>
        <w:autoSpaceDN w:val="0"/>
        <w:spacing w:line="500" w:lineRule="exact"/>
        <w:jc w:val="left"/>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w:t>选题内容：</w:t>
      </w:r>
    </w:p>
    <w:p>
      <w:pPr>
        <w:wordWrap w:val="0"/>
        <w:topLinePunct/>
        <w:autoSpaceDE w:val="0"/>
        <w:autoSpaceDN w:val="0"/>
        <w:spacing w:line="5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1.犁头草（堇菜科植物长萼堇菜</w:t>
      </w:r>
      <w:r>
        <w:rPr>
          <w:rFonts w:hint="default" w:ascii="Times New Roman" w:hAnsi="Times New Roman" w:eastAsia="宋体" w:cs="Times New Roman"/>
          <w:i/>
          <w:iCs/>
          <w:sz w:val="24"/>
          <w:szCs w:val="24"/>
        </w:rPr>
        <w:t>Viola inconspicua</w:t>
      </w:r>
      <w:r>
        <w:rPr>
          <w:rFonts w:hint="default" w:ascii="Times New Roman" w:hAnsi="Times New Roman" w:eastAsia="宋体" w:cs="Times New Roman"/>
          <w:sz w:val="24"/>
          <w:szCs w:val="24"/>
        </w:rPr>
        <w:t xml:space="preserve"> Blume.全草）抗肝损伤（肝纤维化）活性部位筛选</w:t>
      </w:r>
    </w:p>
    <w:p>
      <w:pPr>
        <w:wordWrap w:val="0"/>
        <w:topLinePunct/>
        <w:autoSpaceDE w:val="0"/>
        <w:autoSpaceDN w:val="0"/>
        <w:spacing w:line="5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2.双飞蝴蝶（豆科植物蝙蝠草</w:t>
      </w:r>
      <w:r>
        <w:rPr>
          <w:rFonts w:hint="default" w:ascii="Times New Roman" w:hAnsi="Times New Roman" w:eastAsia="宋体" w:cs="Times New Roman"/>
          <w:i/>
          <w:iCs/>
          <w:sz w:val="24"/>
          <w:szCs w:val="24"/>
        </w:rPr>
        <w:t>Christia vespertilionis</w:t>
      </w:r>
      <w:r>
        <w:rPr>
          <w:rFonts w:hint="default" w:ascii="Times New Roman" w:hAnsi="Times New Roman" w:eastAsia="宋体" w:cs="Times New Roman"/>
          <w:sz w:val="24"/>
          <w:szCs w:val="24"/>
        </w:rPr>
        <w:t xml:space="preserve"> (L.f.) Bahn.f.全草）抗肝损伤（肝纤维化）活性部位筛选</w:t>
      </w:r>
    </w:p>
    <w:p>
      <w:pPr>
        <w:wordWrap w:val="0"/>
        <w:topLinePunct/>
        <w:autoSpaceDE w:val="0"/>
        <w:autoSpaceDN w:val="0"/>
        <w:spacing w:line="5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3.白背三七（菊科植物白子菜</w:t>
      </w:r>
      <w:r>
        <w:rPr>
          <w:rFonts w:hint="default" w:ascii="Times New Roman" w:hAnsi="Times New Roman" w:eastAsia="宋体" w:cs="Times New Roman"/>
          <w:i/>
          <w:iCs/>
          <w:sz w:val="24"/>
          <w:szCs w:val="24"/>
        </w:rPr>
        <w:t>Gynura divaricata</w:t>
      </w:r>
      <w:r>
        <w:rPr>
          <w:rFonts w:hint="default" w:ascii="Times New Roman" w:hAnsi="Times New Roman" w:eastAsia="宋体" w:cs="Times New Roman"/>
          <w:sz w:val="24"/>
          <w:szCs w:val="24"/>
        </w:rPr>
        <w:t> (L.) DC. 全草）抗肝损伤（肝纤维化）活性部位筛选</w:t>
      </w:r>
    </w:p>
    <w:p>
      <w:pPr>
        <w:wordWrap w:val="0"/>
        <w:topLinePunct/>
        <w:autoSpaceDE w:val="0"/>
        <w:autoSpaceDN w:val="0"/>
        <w:spacing w:line="500" w:lineRule="exact"/>
        <w:ind w:firstLine="480" w:firstLineChars="200"/>
        <w:jc w:val="left"/>
        <w:rPr>
          <w:rFonts w:hint="default" w:ascii="Times New Roman" w:hAnsi="Times New Roman" w:eastAsia="宋体" w:cs="Times New Roman"/>
          <w:color w:val="5B9BD5" w:themeColor="accent1"/>
          <w:sz w:val="24"/>
          <w:szCs w:val="24"/>
          <w14:textFill>
            <w14:solidFill>
              <w14:schemeClr w14:val="accent1"/>
            </w14:solidFill>
          </w14:textFill>
        </w:rPr>
      </w:pPr>
      <w:r>
        <w:rPr>
          <w:rFonts w:hint="default" w:ascii="Times New Roman" w:hAnsi="Times New Roman" w:eastAsia="宋体" w:cs="Times New Roman"/>
          <w:color w:val="5B9BD5" w:themeColor="accent1"/>
          <w:sz w:val="24"/>
          <w:szCs w:val="24"/>
          <w14:textFill>
            <w14:solidFill>
              <w14:schemeClr w14:val="accent1"/>
            </w14:solidFill>
          </w14:textFill>
        </w:rPr>
        <w:t>4.三妹木（豆科植物美丽胡枝子</w:t>
      </w:r>
      <w:r>
        <w:rPr>
          <w:rFonts w:hint="default" w:ascii="Times New Roman" w:hAnsi="Times New Roman" w:eastAsia="宋体" w:cs="Times New Roman"/>
          <w:i/>
          <w:iCs/>
          <w:color w:val="5B9BD5" w:themeColor="accent1"/>
          <w:sz w:val="24"/>
          <w:szCs w:val="24"/>
          <w14:textFill>
            <w14:solidFill>
              <w14:schemeClr w14:val="accent1"/>
            </w14:solidFill>
          </w14:textFill>
        </w:rPr>
        <w:t>Lespedeza Formosa</w:t>
      </w:r>
      <w:r>
        <w:rPr>
          <w:rFonts w:hint="default" w:ascii="Times New Roman" w:hAnsi="Times New Roman" w:eastAsia="宋体" w:cs="Times New Roman"/>
          <w:color w:val="5B9BD5" w:themeColor="accent1"/>
          <w:sz w:val="24"/>
          <w:szCs w:val="24"/>
          <w14:textFill>
            <w14:solidFill>
              <w14:schemeClr w14:val="accent1"/>
            </w14:solidFill>
          </w14:textFill>
        </w:rPr>
        <w:t> Wight茎叶）抗肝损伤（肝纤维化）活性部位筛选</w:t>
      </w:r>
    </w:p>
    <w:p>
      <w:pPr>
        <w:wordWrap w:val="0"/>
        <w:topLinePunct/>
        <w:autoSpaceDE w:val="0"/>
        <w:autoSpaceDN w:val="0"/>
        <w:spacing w:line="5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5.青钱柳（胡桃科植物青钱柳</w:t>
      </w:r>
      <w:r>
        <w:rPr>
          <w:rFonts w:hint="default" w:ascii="Times New Roman" w:hAnsi="Times New Roman" w:eastAsia="宋体" w:cs="Times New Roman"/>
          <w:i/>
          <w:iCs/>
          <w:sz w:val="24"/>
          <w:szCs w:val="24"/>
        </w:rPr>
        <w:t>Cyclocarya paliurus</w:t>
      </w:r>
      <w:r>
        <w:rPr>
          <w:rFonts w:hint="default" w:ascii="Times New Roman" w:hAnsi="Times New Roman" w:eastAsia="宋体" w:cs="Times New Roman"/>
          <w:sz w:val="24"/>
          <w:szCs w:val="24"/>
        </w:rPr>
        <w:t> (Batal.) Iljinsk.叶）抗肝损伤（肝纤维化）活性部位筛选</w:t>
      </w:r>
    </w:p>
    <w:p>
      <w:pPr>
        <w:wordWrap w:val="0"/>
        <w:topLinePunct/>
        <w:autoSpaceDE w:val="0"/>
        <w:autoSpaceDN w:val="0"/>
        <w:spacing w:line="500" w:lineRule="exact"/>
        <w:ind w:firstLine="480" w:firstLineChars="200"/>
        <w:jc w:val="left"/>
        <w:rPr>
          <w:rFonts w:hint="default" w:ascii="Times New Roman" w:hAnsi="Times New Roman" w:eastAsia="宋体" w:cs="Times New Roman"/>
          <w:color w:val="5B9BD5" w:themeColor="accent1"/>
          <w:sz w:val="24"/>
          <w:szCs w:val="24"/>
          <w14:textFill>
            <w14:solidFill>
              <w14:schemeClr w14:val="accent1"/>
            </w14:solidFill>
          </w14:textFill>
        </w:rPr>
      </w:pPr>
      <w:r>
        <w:rPr>
          <w:rFonts w:hint="default" w:ascii="Times New Roman" w:hAnsi="Times New Roman" w:eastAsia="宋体" w:cs="Times New Roman"/>
          <w:color w:val="5B9BD5" w:themeColor="accent1"/>
          <w:sz w:val="24"/>
          <w:szCs w:val="24"/>
          <w14:textFill>
            <w14:solidFill>
              <w14:schemeClr w14:val="accent1"/>
            </w14:solidFill>
          </w14:textFill>
        </w:rPr>
        <w:t>6.火钱保肝胶囊（组方：火炭母，拳卷地钱，白背三七，三妹木，锡叶藤，犁头草，双飞蝴蝶，青钱柳）抗肝纤维化活性研究</w:t>
      </w:r>
    </w:p>
    <w:p>
      <w:pPr>
        <w:wordWrap w:val="0"/>
        <w:topLinePunct/>
        <w:autoSpaceDE w:val="0"/>
        <w:autoSpaceDN w:val="0"/>
        <w:spacing w:line="500" w:lineRule="exact"/>
        <w:ind w:firstLine="480" w:firstLineChars="200"/>
        <w:jc w:val="left"/>
        <w:rPr>
          <w:rFonts w:hint="default" w:ascii="Times New Roman" w:hAnsi="Times New Roman" w:eastAsia="宋体" w:cs="Times New Roman"/>
          <w:color w:val="5B9BD5" w:themeColor="accent1"/>
          <w:sz w:val="24"/>
          <w:szCs w:val="24"/>
          <w14:textFill>
            <w14:solidFill>
              <w14:schemeClr w14:val="accent1"/>
            </w14:solidFill>
          </w14:textFill>
        </w:rPr>
      </w:pPr>
      <w:r>
        <w:rPr>
          <w:rFonts w:hint="default" w:ascii="Times New Roman" w:hAnsi="Times New Roman" w:eastAsia="宋体" w:cs="Times New Roman"/>
          <w:color w:val="5B9BD5" w:themeColor="accent1"/>
          <w:sz w:val="24"/>
          <w:szCs w:val="24"/>
          <w14:textFill>
            <w14:solidFill>
              <w14:schemeClr w14:val="accent1"/>
            </w14:solidFill>
          </w14:textFill>
        </w:rPr>
        <w:t>7.火钱保肝胶囊（组方：火炭母，拳卷地钱，白背三七，三妹木，锡叶藤，犁头草，双飞蝴蝶，青钱柳）对急性肝损伤的保护作用研究</w:t>
      </w:r>
    </w:p>
    <w:p>
      <w:pPr>
        <w:wordWrap w:val="0"/>
        <w:topLinePunct/>
        <w:autoSpaceDE w:val="0"/>
        <w:autoSpaceDN w:val="0"/>
        <w:spacing w:line="5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rPr>
        <w:t>8.火钱保肝胶囊（组方：火炭母，拳卷地钱，白背三七，三妹木，锡叶藤，犁头草，双飞蝴蝶，青钱柳）体外抗肝损伤（肝纤维化）活性研究</w:t>
      </w:r>
    </w:p>
    <w:p>
      <w:pPr>
        <w:wordWrap w:val="0"/>
        <w:topLinePunct/>
        <w:autoSpaceDE w:val="0"/>
        <w:autoSpaceDN w:val="0"/>
        <w:spacing w:line="500" w:lineRule="exact"/>
        <w:jc w:val="left"/>
        <w:rPr>
          <w:rFonts w:hint="default" w:ascii="Times New Roman" w:hAnsi="Times New Roman" w:eastAsia="宋体" w:cs="Times New Roman"/>
          <w:sz w:val="24"/>
          <w:szCs w:val="24"/>
        </w:rPr>
      </w:pPr>
    </w:p>
    <w:p>
      <w:pPr>
        <w:wordWrap w:val="0"/>
        <w:topLinePunct/>
        <w:autoSpaceDE w:val="0"/>
        <w:autoSpaceDN w:val="0"/>
        <w:spacing w:line="500" w:lineRule="exact"/>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研究方向四：壮瑶药制剂与关键技术应用基础（含多学科交叉融合创新发展）研究</w:t>
      </w:r>
    </w:p>
    <w:p>
      <w:pPr>
        <w:wordWrap w:val="0"/>
        <w:topLinePunct/>
        <w:autoSpaceDE w:val="0"/>
        <w:autoSpaceDN w:val="0"/>
        <w:spacing w:line="500" w:lineRule="exact"/>
        <w:jc w:val="left"/>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w:t>选题内容：</w:t>
      </w:r>
    </w:p>
    <w:p>
      <w:pPr>
        <w:wordWrap w:val="0"/>
        <w:topLinePunct/>
        <w:autoSpaceDE w:val="0"/>
        <w:autoSpaceDN w:val="0"/>
        <w:spacing w:line="5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1.火钱保肝胶囊（组方：火炭母，拳卷地钱，白背三七，三妹木，锡叶藤，犁头草，双飞蝴蝶，青钱柳）制备工艺及检查项目研究</w:t>
      </w:r>
    </w:p>
    <w:p>
      <w:pPr>
        <w:wordWrap w:val="0"/>
        <w:topLinePunct/>
        <w:autoSpaceDE w:val="0"/>
        <w:autoSpaceDN w:val="0"/>
        <w:spacing w:line="5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2.火钱保肝胶囊（组方：火炭母，拳卷地钱，白背三七，三妹木，锡叶藤，犁头草，双飞蝴蝶，青钱柳）中试工艺及检查项目研究</w:t>
      </w:r>
    </w:p>
    <w:p>
      <w:pPr>
        <w:wordWrap w:val="0"/>
        <w:topLinePunct/>
        <w:autoSpaceDE w:val="0"/>
        <w:autoSpaceDN w:val="0"/>
        <w:spacing w:line="5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3.瑶药三泡产后修复泡腾片（薯莨，盐肤木6，鸡血藤，水泽兰，益母草，麻骨风，红艾叶，酒品藤）制备工艺及产品质量标准研究</w:t>
      </w:r>
    </w:p>
    <w:p>
      <w:pPr>
        <w:wordWrap w:val="0"/>
        <w:topLinePunct/>
        <w:autoSpaceDE w:val="0"/>
        <w:autoSpaceDN w:val="0"/>
        <w:spacing w:line="5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4.瑶药三泡舒筋祛湿泡腾片（薯莨，小香樟，盐肤木，满山香，麻骨风，半枫荷，飞龙掌血，桂枝）制备工艺及产品质量标准研究</w:t>
      </w:r>
    </w:p>
    <w:p>
      <w:pPr>
        <w:wordWrap w:val="0"/>
        <w:topLinePunct/>
        <w:autoSpaceDE w:val="0"/>
        <w:autoSpaceDN w:val="0"/>
        <w:spacing w:line="5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5.瑶药三泡排毒养颜泡腾片（薯莨，松针，银花藤，钻骨风，鸭脚木，黄牛树，三叉苦，桂枝）制备工艺及产品质量标准研究</w:t>
      </w:r>
    </w:p>
    <w:p>
      <w:pPr>
        <w:wordWrap w:val="0"/>
        <w:topLinePunct/>
        <w:autoSpaceDE w:val="0"/>
        <w:autoSpaceDN w:val="0"/>
        <w:spacing w:line="5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6.多学科交叉融合创新发展壮瑶医药的研究</w:t>
      </w:r>
    </w:p>
    <w:p>
      <w:pPr>
        <w:rPr>
          <w:rFonts w:hint="default" w:ascii="Times New Roman" w:hAnsi="Times New Roman" w:eastAsia="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NTdkN2I3ZjU3YTZjYTNhYmUxODA2YTQxOTA0OWMifQ=="/>
  </w:docVars>
  <w:rsids>
    <w:rsidRoot w:val="035C031C"/>
    <w:rsid w:val="00020FCD"/>
    <w:rsid w:val="00536EFA"/>
    <w:rsid w:val="006731DB"/>
    <w:rsid w:val="007B69ED"/>
    <w:rsid w:val="007F5D51"/>
    <w:rsid w:val="009F7BC5"/>
    <w:rsid w:val="00A00DD8"/>
    <w:rsid w:val="00A8413B"/>
    <w:rsid w:val="00D0041C"/>
    <w:rsid w:val="01931818"/>
    <w:rsid w:val="035C031C"/>
    <w:rsid w:val="09E721FA"/>
    <w:rsid w:val="291A4B01"/>
    <w:rsid w:val="324F4D8D"/>
    <w:rsid w:val="3C2135EC"/>
    <w:rsid w:val="3CA5228C"/>
    <w:rsid w:val="3D034F98"/>
    <w:rsid w:val="3E2A7556"/>
    <w:rsid w:val="4A0232E3"/>
    <w:rsid w:val="4B276107"/>
    <w:rsid w:val="552C3337"/>
    <w:rsid w:val="64DD45A8"/>
    <w:rsid w:val="67202D7E"/>
    <w:rsid w:val="71CF051E"/>
    <w:rsid w:val="7D4A62FD"/>
    <w:rsid w:val="7E423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character" w:styleId="7">
    <w:name w:val="Hyperlink"/>
    <w:basedOn w:val="6"/>
    <w:qFormat/>
    <w:uiPriority w:val="0"/>
    <w:rPr>
      <w:color w:val="0563C1" w:themeColor="hyperlink"/>
      <w:u w:val="single"/>
      <w14:textFill>
        <w14:solidFill>
          <w14:schemeClr w14:val="hlink"/>
        </w14:solidFill>
      </w14:textFill>
    </w:rPr>
  </w:style>
  <w:style w:type="character" w:customStyle="1" w:styleId="8">
    <w:name w:val="Unresolved Mention"/>
    <w:basedOn w:val="6"/>
    <w:semiHidden/>
    <w:unhideWhenUsed/>
    <w:qFormat/>
    <w:uiPriority w:val="99"/>
    <w:rPr>
      <w:color w:val="605E5C"/>
      <w:shd w:val="clear" w:color="auto" w:fill="E1DFDD"/>
    </w:rPr>
  </w:style>
  <w:style w:type="character" w:customStyle="1" w:styleId="9">
    <w:name w:val="页眉 字符"/>
    <w:basedOn w:val="6"/>
    <w:link w:val="3"/>
    <w:qFormat/>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0"/>
    <w:rPr>
      <w:rFonts w:asciiTheme="minorHAnsi" w:hAnsiTheme="minorHAnsi" w:eastAsiaTheme="minorEastAsia" w:cstheme="minorBidi"/>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2751</Words>
  <Characters>2917</Characters>
  <Lines>132</Lines>
  <Paragraphs>101</Paragraphs>
  <TotalTime>4</TotalTime>
  <ScaleCrop>false</ScaleCrop>
  <LinksUpToDate>false</LinksUpToDate>
  <CharactersWithSpaces>5567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2022-06-07T07:49:00Z</dcterms:created>
  <dc:creator>爾氵曼埗1400318249</dc:creator>
  <cp:lastModifiedBy>爾氵曼埗1400318249</cp:lastModifiedBy>
  <dcterms:modified xsi:type="dcterms:W3CDTF">2025-10-16T12:02:04Z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F9D7988D6B9D434F8C36A1AA2C77C7D1_13</vt:lpwstr>
  </property>
</Properties>
</file>