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85AAE">
      <w:pPr>
        <w:widowControl/>
        <w:jc w:val="left"/>
        <w:rPr>
          <w:rFonts w:hint="eastAsia"/>
        </w:rPr>
      </w:pPr>
      <w:bookmarkStart w:id="0" w:name="_GoBack"/>
      <w:r>
        <w:rPr>
          <w:rFonts w:ascii="黑体" w:hAnsi="黑体" w:eastAsia="黑体" w:cs="宋体"/>
          <w:b/>
          <w:bCs/>
          <w:color w:val="000000"/>
          <w:sz w:val="32"/>
          <w:szCs w:val="32"/>
          <w14:ligatures w14:val="none"/>
        </w:rPr>
        <w:t>附件</w:t>
      </w:r>
      <w:r>
        <w:rPr>
          <w:rFonts w:hint="eastAsia" w:ascii="黑体" w:hAnsi="黑体" w:eastAsia="黑体" w:cs="宋体"/>
          <w:b/>
          <w:bCs/>
          <w:color w:val="000000"/>
          <w:sz w:val="32"/>
          <w:szCs w:val="32"/>
          <w14:ligatures w14:val="none"/>
        </w:rPr>
        <w:t>1</w:t>
      </w:r>
    </w:p>
    <w:p w14:paraId="5BBF7C65">
      <w:pPr>
        <w:pStyle w:val="2"/>
        <w:widowControl/>
        <w:shd w:val="clear" w:color="auto" w:fill="FFFFFF"/>
        <w:spacing w:before="0" w:beforeAutospacing="0" w:after="0" w:afterAutospacing="0" w:line="560" w:lineRule="atLeast"/>
        <w:ind w:firstLine="600"/>
        <w:jc w:val="center"/>
        <w:rPr>
          <w:rFonts w:hint="eastAsia" w:asciiTheme="majorEastAsia" w:hAnsiTheme="majorEastAsia" w:eastAsiaTheme="majorEastAsia" w:cstheme="majorEastAsia"/>
          <w:snapToGrid w:val="0"/>
          <w:sz w:val="36"/>
          <w:szCs w:val="36"/>
          <w:lang w:val="en-US" w:eastAsia="zh-CN"/>
        </w:rPr>
      </w:pPr>
      <w:r>
        <w:rPr>
          <w:rFonts w:hint="eastAsia" w:asciiTheme="majorEastAsia" w:hAnsiTheme="majorEastAsia" w:eastAsiaTheme="majorEastAsia" w:cstheme="majorEastAsia"/>
          <w:snapToGrid w:val="0"/>
          <w:sz w:val="36"/>
          <w:szCs w:val="36"/>
          <w:lang w:val="en-US" w:eastAsia="zh-CN"/>
        </w:rPr>
        <w:t>仙葫、明秀两校区“</w:t>
      </w:r>
      <w:r>
        <w:rPr>
          <w:rFonts w:hint="eastAsia" w:asciiTheme="majorEastAsia" w:hAnsiTheme="majorEastAsia" w:eastAsiaTheme="majorEastAsia" w:cstheme="majorEastAsia"/>
          <w:snapToGrid w:val="0"/>
          <w:sz w:val="36"/>
          <w:szCs w:val="36"/>
        </w:rPr>
        <w:t>灭四害</w:t>
      </w:r>
      <w:r>
        <w:rPr>
          <w:rFonts w:hint="eastAsia" w:asciiTheme="majorEastAsia" w:hAnsiTheme="majorEastAsia" w:eastAsiaTheme="majorEastAsia" w:cstheme="majorEastAsia"/>
          <w:snapToGrid w:val="0"/>
          <w:sz w:val="36"/>
          <w:szCs w:val="36"/>
          <w:lang w:val="en-US" w:eastAsia="zh-CN"/>
        </w:rPr>
        <w:t>”服务采购需求</w:t>
      </w:r>
    </w:p>
    <w:p w14:paraId="4CF4DB15">
      <w:pPr>
        <w:pStyle w:val="2"/>
        <w:widowControl/>
        <w:shd w:val="clear" w:color="auto" w:fill="FFFFFF"/>
        <w:spacing w:before="0" w:beforeAutospacing="0" w:after="0" w:afterAutospacing="0" w:line="560" w:lineRule="atLeast"/>
        <w:ind w:firstLine="600"/>
        <w:jc w:val="center"/>
        <w:rPr>
          <w:rFonts w:hint="eastAsia" w:asciiTheme="majorEastAsia" w:hAnsiTheme="majorEastAsia" w:eastAsiaTheme="majorEastAsia" w:cstheme="majorEastAsia"/>
          <w:snapToGrid w:val="0"/>
          <w:sz w:val="36"/>
          <w:szCs w:val="36"/>
          <w:lang w:val="en-US" w:eastAsia="zh-CN"/>
        </w:rPr>
      </w:pPr>
      <w:r>
        <w:rPr>
          <w:rFonts w:hint="eastAsia" w:asciiTheme="majorEastAsia" w:hAnsiTheme="majorEastAsia" w:eastAsiaTheme="majorEastAsia" w:cstheme="majorEastAsia"/>
          <w:snapToGrid w:val="0"/>
          <w:sz w:val="36"/>
          <w:szCs w:val="36"/>
          <w:lang w:val="en-US" w:eastAsia="zh-CN"/>
        </w:rPr>
        <w:t>及技术参数要求</w:t>
      </w:r>
    </w:p>
    <w:bookmarkEnd w:id="0"/>
    <w:p w14:paraId="482C2F9D">
      <w:pPr>
        <w:pStyle w:val="2"/>
        <w:widowControl/>
        <w:shd w:val="clear" w:color="auto" w:fill="FFFFFF"/>
        <w:spacing w:before="0" w:beforeAutospacing="0" w:after="0" w:afterAutospacing="0" w:line="560" w:lineRule="atLeast"/>
        <w:ind w:firstLine="600"/>
        <w:jc w:val="center"/>
        <w:rPr>
          <w:rFonts w:hint="eastAsia" w:asciiTheme="majorEastAsia" w:hAnsiTheme="majorEastAsia" w:eastAsiaTheme="majorEastAsia" w:cstheme="majorEastAsia"/>
          <w:snapToGrid w:val="0"/>
          <w:sz w:val="36"/>
          <w:szCs w:val="36"/>
          <w:lang w:val="en-US" w:eastAsia="zh-CN"/>
        </w:rPr>
      </w:pPr>
    </w:p>
    <w:p w14:paraId="511B825F">
      <w:pPr>
        <w:pStyle w:val="2"/>
        <w:widowControl/>
        <w:shd w:val="clear" w:color="auto" w:fill="FFFFFF"/>
        <w:spacing w:before="0" w:beforeAutospacing="0" w:after="0" w:afterAutospacing="0" w:line="560" w:lineRule="atLeast"/>
        <w:jc w:val="both"/>
        <w:rPr>
          <w:rFonts w:hint="eastAsia" w:ascii="仿宋" w:hAnsi="仿宋" w:eastAsia="仿宋" w:cs="仿宋"/>
          <w:b/>
          <w:bCs/>
          <w:sz w:val="30"/>
          <w:szCs w:val="30"/>
          <w:shd w:val="clear" w:color="auto" w:fill="FFFFFF"/>
        </w:rPr>
      </w:pPr>
      <w:r>
        <w:rPr>
          <w:rFonts w:ascii="仿宋" w:hAnsi="仿宋" w:eastAsia="仿宋" w:cs="仿宋"/>
          <w:b/>
          <w:bCs/>
          <w:sz w:val="30"/>
          <w:szCs w:val="30"/>
          <w:shd w:val="clear" w:color="auto" w:fill="FFFFFF"/>
        </w:rPr>
        <w:t>一、项目名称</w:t>
      </w:r>
    </w:p>
    <w:p w14:paraId="27A43182">
      <w:pPr>
        <w:pStyle w:val="2"/>
        <w:widowControl/>
        <w:shd w:val="clear" w:color="auto" w:fill="FFFFFF"/>
        <w:spacing w:before="0" w:beforeAutospacing="0" w:after="0" w:afterAutospacing="0" w:line="560" w:lineRule="atLeast"/>
        <w:jc w:val="both"/>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lang w:val="en-US" w:eastAsia="zh-CN"/>
        </w:rPr>
        <w:t>仙葫、明秀两校区“</w:t>
      </w:r>
      <w:r>
        <w:rPr>
          <w:rFonts w:hint="eastAsia" w:ascii="仿宋" w:hAnsi="仿宋" w:eastAsia="仿宋" w:cs="仿宋"/>
          <w:sz w:val="30"/>
          <w:szCs w:val="30"/>
          <w:shd w:val="clear" w:color="auto" w:fill="FFFFFF"/>
        </w:rPr>
        <w:t>灭四害</w:t>
      </w:r>
      <w:r>
        <w:rPr>
          <w:rFonts w:hint="eastAsia" w:ascii="仿宋" w:hAnsi="仿宋" w:eastAsia="仿宋" w:cs="仿宋"/>
          <w:sz w:val="30"/>
          <w:szCs w:val="30"/>
          <w:shd w:val="clear" w:color="auto" w:fill="FFFFFF"/>
          <w:lang w:val="en-US" w:eastAsia="zh-CN"/>
        </w:rPr>
        <w:t>”</w:t>
      </w:r>
      <w:r>
        <w:rPr>
          <w:rFonts w:hint="eastAsia" w:ascii="仿宋" w:hAnsi="仿宋" w:eastAsia="仿宋" w:cs="仿宋"/>
          <w:sz w:val="30"/>
          <w:szCs w:val="30"/>
          <w:shd w:val="clear" w:color="auto" w:fill="FFFFFF"/>
        </w:rPr>
        <w:t>服务</w:t>
      </w:r>
    </w:p>
    <w:p w14:paraId="0F1107CF">
      <w:pPr>
        <w:pStyle w:val="2"/>
        <w:widowControl/>
        <w:shd w:val="clear" w:color="auto" w:fill="FFFFFF"/>
        <w:spacing w:before="0" w:beforeAutospacing="0" w:after="0" w:afterAutospacing="0" w:line="560" w:lineRule="atLeast"/>
        <w:jc w:val="both"/>
        <w:rPr>
          <w:rFonts w:hint="eastAsia" w:ascii="仿宋" w:hAnsi="仿宋" w:eastAsia="仿宋" w:cs="仿宋"/>
          <w:b/>
          <w:bCs/>
          <w:sz w:val="30"/>
          <w:szCs w:val="30"/>
          <w:shd w:val="clear" w:color="auto" w:fill="FFFFFF"/>
        </w:rPr>
      </w:pPr>
      <w:r>
        <w:rPr>
          <w:rFonts w:ascii="仿宋" w:hAnsi="仿宋" w:eastAsia="仿宋" w:cs="仿宋"/>
          <w:b/>
          <w:bCs/>
          <w:sz w:val="30"/>
          <w:szCs w:val="30"/>
          <w:shd w:val="clear" w:color="auto" w:fill="FFFFFF"/>
        </w:rPr>
        <w:t>二、项目内容</w:t>
      </w:r>
    </w:p>
    <w:p w14:paraId="2C3C942D">
      <w:pPr>
        <w:pStyle w:val="2"/>
        <w:widowControl/>
        <w:shd w:val="clear" w:color="auto" w:fill="FFFFFF"/>
        <w:spacing w:before="0" w:beforeAutospacing="0" w:after="0" w:afterAutospacing="0" w:line="560" w:lineRule="atLeast"/>
        <w:jc w:val="both"/>
        <w:rPr>
          <w:rFonts w:hint="eastAsia" w:ascii="仿宋" w:hAnsi="仿宋" w:eastAsia="仿宋" w:cs="仿宋"/>
          <w:sz w:val="30"/>
          <w:szCs w:val="30"/>
          <w:shd w:val="clear" w:color="auto" w:fill="FFFFFF"/>
        </w:rPr>
      </w:pPr>
      <w:r>
        <w:rPr>
          <w:rFonts w:ascii="仿宋" w:hAnsi="仿宋" w:eastAsia="仿宋" w:cs="仿宋"/>
          <w:sz w:val="30"/>
          <w:szCs w:val="30"/>
          <w:shd w:val="clear" w:color="auto" w:fill="FFFFFF"/>
        </w:rPr>
        <w:t>本次采购服务内容为</w:t>
      </w:r>
      <w:r>
        <w:rPr>
          <w:rFonts w:hint="eastAsia" w:ascii="仿宋" w:hAnsi="仿宋" w:eastAsia="仿宋" w:cs="仿宋"/>
          <w:sz w:val="30"/>
          <w:szCs w:val="30"/>
          <w:shd w:val="clear" w:color="auto" w:fill="FFFFFF"/>
          <w:lang w:val="en-US" w:eastAsia="zh-CN"/>
        </w:rPr>
        <w:t>仙葫、明秀两校区“</w:t>
      </w:r>
      <w:r>
        <w:rPr>
          <w:rFonts w:hint="eastAsia" w:ascii="仿宋" w:hAnsi="仿宋" w:eastAsia="仿宋" w:cs="仿宋"/>
          <w:sz w:val="30"/>
          <w:szCs w:val="30"/>
          <w:shd w:val="clear" w:color="auto" w:fill="FFFFFF"/>
        </w:rPr>
        <w:t>灭四害</w:t>
      </w:r>
      <w:r>
        <w:rPr>
          <w:rFonts w:hint="eastAsia" w:ascii="仿宋" w:hAnsi="仿宋" w:eastAsia="仿宋" w:cs="仿宋"/>
          <w:sz w:val="30"/>
          <w:szCs w:val="30"/>
          <w:shd w:val="clear" w:color="auto" w:fill="FFFFFF"/>
          <w:lang w:val="en-US" w:eastAsia="zh-CN"/>
        </w:rPr>
        <w:t>”</w:t>
      </w:r>
      <w:r>
        <w:rPr>
          <w:rFonts w:hint="eastAsia" w:ascii="仿宋" w:hAnsi="仿宋" w:eastAsia="仿宋" w:cs="仿宋"/>
          <w:sz w:val="30"/>
          <w:szCs w:val="30"/>
          <w:shd w:val="clear" w:color="auto" w:fill="FFFFFF"/>
        </w:rPr>
        <w:t>服务</w:t>
      </w:r>
      <w:r>
        <w:rPr>
          <w:rFonts w:hint="eastAsia" w:ascii="仿宋" w:hAnsi="仿宋" w:eastAsia="仿宋" w:cs="仿宋"/>
          <w:sz w:val="30"/>
          <w:szCs w:val="30"/>
          <w:shd w:val="clear" w:color="auto" w:fill="FFFFFF"/>
          <w:lang w:val="en-US" w:eastAsia="zh-CN"/>
        </w:rPr>
        <w:t>，</w:t>
      </w:r>
      <w:r>
        <w:rPr>
          <w:rFonts w:ascii="仿宋" w:hAnsi="仿宋" w:eastAsia="仿宋" w:cs="仿宋"/>
          <w:sz w:val="30"/>
          <w:szCs w:val="30"/>
          <w:shd w:val="clear" w:color="auto" w:fill="FFFFFF"/>
        </w:rPr>
        <w:t>核心工作包括：</w:t>
      </w:r>
      <w:r>
        <w:rPr>
          <w:rFonts w:hint="eastAsia" w:ascii="仿宋" w:hAnsi="仿宋" w:eastAsia="仿宋" w:cs="仿宋"/>
          <w:sz w:val="30"/>
          <w:szCs w:val="30"/>
          <w:shd w:val="clear" w:color="auto" w:fill="FFFFFF"/>
        </w:rPr>
        <w:t>负责完成明秀、仙葫两校区规划蓝图内公共区域（除校内食堂区域外）、办公室、教学区域、实验室、体育场、运动场、卫生间等常规性消杀“四害”（老鼠、蟑螂、蚊蝇、白蚁、蚂蚁、防蛇）工作，不含校内突发传染病疫情消杀工作。</w:t>
      </w:r>
    </w:p>
    <w:p w14:paraId="096764C2">
      <w:pPr>
        <w:pStyle w:val="2"/>
        <w:widowControl/>
        <w:numPr>
          <w:ilvl w:val="0"/>
          <w:numId w:val="1"/>
        </w:numPr>
        <w:shd w:val="clear" w:color="auto" w:fill="FFFFFF"/>
        <w:spacing w:before="0" w:beforeAutospacing="0" w:after="0" w:afterAutospacing="0" w:line="560" w:lineRule="atLeast"/>
        <w:jc w:val="both"/>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常规每月进行“四害”消杀一次（寒暑假期间消杀工作正常进行），如遇特殊情况，随叫随到，按需要增加消杀频次。</w:t>
      </w:r>
    </w:p>
    <w:p w14:paraId="6AB4B42B">
      <w:pPr>
        <w:pStyle w:val="2"/>
        <w:widowControl/>
        <w:numPr>
          <w:ilvl w:val="0"/>
          <w:numId w:val="1"/>
        </w:numPr>
        <w:shd w:val="clear" w:color="auto" w:fill="FFFFFF"/>
        <w:spacing w:before="0" w:beforeAutospacing="0" w:after="0" w:afterAutospacing="0" w:line="560" w:lineRule="atLeast"/>
        <w:jc w:val="both"/>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配合甲方进行其他病虫媒防治工作。</w:t>
      </w:r>
    </w:p>
    <w:p w14:paraId="62435166">
      <w:pPr>
        <w:pStyle w:val="2"/>
        <w:widowControl/>
        <w:numPr>
          <w:ilvl w:val="0"/>
          <w:numId w:val="1"/>
        </w:numPr>
        <w:shd w:val="clear" w:color="auto" w:fill="FFFFFF"/>
        <w:spacing w:before="0" w:beforeAutospacing="0" w:after="0" w:afterAutospacing="0" w:line="560" w:lineRule="atLeast"/>
        <w:jc w:val="both"/>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lang w:val="en-US" w:eastAsia="zh-CN"/>
        </w:rPr>
        <w:t>乙方负责指导甲方做好防鼠防虫工作。</w:t>
      </w:r>
    </w:p>
    <w:p w14:paraId="195BDB3F">
      <w:pPr>
        <w:pStyle w:val="2"/>
        <w:widowControl/>
        <w:shd w:val="clear" w:color="auto" w:fill="FFFFFF"/>
        <w:spacing w:before="0" w:beforeAutospacing="0" w:after="0" w:afterAutospacing="0" w:line="560" w:lineRule="atLeast"/>
        <w:jc w:val="both"/>
        <w:rPr>
          <w:rFonts w:hint="eastAsia" w:ascii="仿宋" w:hAnsi="仿宋" w:eastAsia="仿宋" w:cs="仿宋"/>
          <w:b/>
          <w:bCs/>
          <w:sz w:val="30"/>
          <w:szCs w:val="30"/>
          <w:shd w:val="clear" w:color="auto" w:fill="FFFFFF"/>
        </w:rPr>
      </w:pPr>
      <w:r>
        <w:rPr>
          <w:rFonts w:ascii="仿宋" w:hAnsi="仿宋" w:eastAsia="仿宋" w:cs="仿宋"/>
          <w:b/>
          <w:bCs/>
          <w:sz w:val="30"/>
          <w:szCs w:val="30"/>
          <w:shd w:val="clear" w:color="auto" w:fill="FFFFFF"/>
        </w:rPr>
        <w:t>三、技术参数与服务要求</w:t>
      </w:r>
    </w:p>
    <w:p w14:paraId="77014B1B">
      <w:pPr>
        <w:pStyle w:val="2"/>
        <w:widowControl/>
        <w:shd w:val="clear" w:color="auto" w:fill="FFFFFF"/>
        <w:spacing w:before="0" w:beforeAutospacing="0" w:after="0" w:afterAutospacing="0" w:line="560" w:lineRule="atLeast"/>
        <w:ind w:firstLine="426" w:firstLineChars="142"/>
        <w:jc w:val="both"/>
        <w:rPr>
          <w:rFonts w:hint="eastAsia" w:ascii="仿宋" w:hAnsi="仿宋" w:eastAsia="仿宋" w:cs="仿宋"/>
          <w:sz w:val="30"/>
          <w:szCs w:val="30"/>
          <w:shd w:val="clear" w:color="auto" w:fill="FFFFFF"/>
        </w:rPr>
      </w:pPr>
      <w:r>
        <w:rPr>
          <w:rFonts w:ascii="仿宋" w:hAnsi="仿宋" w:eastAsia="仿宋" w:cs="仿宋"/>
          <w:sz w:val="30"/>
          <w:szCs w:val="30"/>
          <w:shd w:val="clear" w:color="auto" w:fill="FFFFFF"/>
        </w:rPr>
        <w:t>本项目需求表中带有“▲”的技术参数或要求为实质性要求，必须满足，竞标响应不得低于该技术指标或要求。</w:t>
      </w:r>
    </w:p>
    <w:p w14:paraId="6240AD8C">
      <w:pPr>
        <w:pStyle w:val="2"/>
        <w:widowControl/>
        <w:shd w:val="clear" w:color="auto" w:fill="FFFFFF"/>
        <w:spacing w:before="0" w:beforeAutospacing="0" w:after="0" w:afterAutospacing="0" w:line="560" w:lineRule="atLeast"/>
        <w:ind w:firstLine="426" w:firstLineChars="142"/>
        <w:jc w:val="both"/>
        <w:rPr>
          <w:rFonts w:hint="eastAsia" w:ascii="仿宋" w:hAnsi="仿宋" w:eastAsia="仿宋" w:cs="仿宋"/>
          <w:sz w:val="30"/>
          <w:szCs w:val="30"/>
          <w:shd w:val="clear" w:color="auto" w:fill="FFFFFF"/>
        </w:rPr>
      </w:pPr>
    </w:p>
    <w:p w14:paraId="5EABA735">
      <w:pPr>
        <w:pStyle w:val="2"/>
        <w:widowControl/>
        <w:shd w:val="clear" w:color="auto" w:fill="FFFFFF"/>
        <w:spacing w:before="0" w:beforeAutospacing="0" w:after="0" w:afterAutospacing="0" w:line="560" w:lineRule="atLeast"/>
        <w:ind w:firstLine="426" w:firstLineChars="142"/>
        <w:jc w:val="both"/>
        <w:rPr>
          <w:rFonts w:hint="eastAsia" w:ascii="仿宋" w:hAnsi="仿宋" w:eastAsia="仿宋" w:cs="仿宋"/>
          <w:sz w:val="30"/>
          <w:szCs w:val="30"/>
          <w:shd w:val="clear" w:color="auto" w:fill="FFFFFF"/>
        </w:rPr>
      </w:pPr>
    </w:p>
    <w:p w14:paraId="35B6A4DE">
      <w:pPr>
        <w:pStyle w:val="2"/>
        <w:widowControl/>
        <w:shd w:val="clear" w:color="auto" w:fill="FFFFFF"/>
        <w:spacing w:before="0" w:beforeAutospacing="0" w:after="0" w:afterAutospacing="0" w:line="560" w:lineRule="atLeast"/>
        <w:ind w:firstLine="426" w:firstLineChars="142"/>
        <w:jc w:val="both"/>
        <w:rPr>
          <w:rFonts w:hint="eastAsia" w:ascii="仿宋" w:hAnsi="仿宋" w:eastAsia="仿宋" w:cs="仿宋"/>
          <w:sz w:val="30"/>
          <w:szCs w:val="30"/>
          <w:shd w:val="clear" w:color="auto" w:fill="FFFFFF"/>
        </w:rPr>
      </w:pPr>
    </w:p>
    <w:p w14:paraId="05BE827C">
      <w:pPr>
        <w:pStyle w:val="2"/>
        <w:widowControl/>
        <w:shd w:val="clear" w:color="auto" w:fill="FFFFFF"/>
        <w:spacing w:before="0" w:beforeAutospacing="0" w:after="0" w:afterAutospacing="0" w:line="560" w:lineRule="atLeast"/>
        <w:ind w:firstLine="426" w:firstLineChars="142"/>
        <w:jc w:val="both"/>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1.</w:t>
      </w:r>
      <w:r>
        <w:rPr>
          <w:rFonts w:hint="eastAsia"/>
        </w:rPr>
        <w:t xml:space="preserve"> </w:t>
      </w:r>
      <w:r>
        <w:rPr>
          <w:rFonts w:hint="eastAsia" w:ascii="仿宋" w:hAnsi="仿宋" w:eastAsia="仿宋" w:cs="仿宋"/>
          <w:sz w:val="30"/>
          <w:szCs w:val="30"/>
          <w:shd w:val="clear" w:color="auto" w:fill="FFFFFF"/>
        </w:rPr>
        <w:t>技术参数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5"/>
        <w:gridCol w:w="839"/>
        <w:gridCol w:w="6431"/>
        <w:gridCol w:w="690"/>
      </w:tblGrid>
      <w:tr w14:paraId="23DC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485" w:type="dxa"/>
            <w:tcMar>
              <w:top w:w="150" w:type="dxa"/>
              <w:left w:w="0" w:type="dxa"/>
              <w:bottom w:w="150" w:type="dxa"/>
              <w:right w:w="240" w:type="dxa"/>
            </w:tcMar>
            <w:vAlign w:val="center"/>
          </w:tcPr>
          <w:p w14:paraId="4062A822">
            <w:pPr>
              <w:rPr>
                <w:rFonts w:hint="eastAsia" w:ascii="仿宋" w:hAnsi="仿宋" w:eastAsia="仿宋"/>
                <w:sz w:val="24"/>
                <w:szCs w:val="24"/>
              </w:rPr>
            </w:pPr>
            <w:r>
              <w:rPr>
                <w:rFonts w:ascii="仿宋" w:hAnsi="仿宋" w:eastAsia="仿宋"/>
                <w:sz w:val="24"/>
                <w:szCs w:val="24"/>
              </w:rPr>
              <w:t>序号</w:t>
            </w:r>
          </w:p>
        </w:tc>
        <w:tc>
          <w:tcPr>
            <w:tcW w:w="839" w:type="dxa"/>
            <w:tcMar>
              <w:top w:w="150" w:type="dxa"/>
              <w:left w:w="240" w:type="dxa"/>
              <w:bottom w:w="150" w:type="dxa"/>
              <w:right w:w="240" w:type="dxa"/>
            </w:tcMar>
            <w:vAlign w:val="center"/>
          </w:tcPr>
          <w:p w14:paraId="0FF6D142">
            <w:pPr>
              <w:rPr>
                <w:rFonts w:hint="eastAsia" w:ascii="仿宋" w:hAnsi="仿宋" w:eastAsia="仿宋"/>
                <w:sz w:val="24"/>
                <w:szCs w:val="24"/>
              </w:rPr>
            </w:pPr>
            <w:r>
              <w:rPr>
                <w:rFonts w:ascii="仿宋" w:hAnsi="仿宋" w:eastAsia="仿宋"/>
                <w:sz w:val="24"/>
                <w:szCs w:val="24"/>
              </w:rPr>
              <w:t>服务项目</w:t>
            </w:r>
          </w:p>
        </w:tc>
        <w:tc>
          <w:tcPr>
            <w:tcW w:w="6431" w:type="dxa"/>
            <w:tcMar>
              <w:top w:w="150" w:type="dxa"/>
              <w:left w:w="240" w:type="dxa"/>
              <w:bottom w:w="150" w:type="dxa"/>
              <w:right w:w="240" w:type="dxa"/>
            </w:tcMar>
            <w:vAlign w:val="center"/>
          </w:tcPr>
          <w:p w14:paraId="4C1597F9">
            <w:pPr>
              <w:rPr>
                <w:rFonts w:hint="eastAsia" w:ascii="仿宋" w:hAnsi="仿宋" w:eastAsia="仿宋"/>
                <w:sz w:val="24"/>
                <w:szCs w:val="24"/>
              </w:rPr>
            </w:pPr>
            <w:r>
              <w:rPr>
                <w:rFonts w:ascii="仿宋" w:hAnsi="仿宋" w:eastAsia="仿宋"/>
                <w:sz w:val="24"/>
                <w:szCs w:val="24"/>
              </w:rPr>
              <w:t>技术服务需求</w:t>
            </w:r>
          </w:p>
        </w:tc>
        <w:tc>
          <w:tcPr>
            <w:tcW w:w="690" w:type="dxa"/>
            <w:tcMar>
              <w:top w:w="150" w:type="dxa"/>
              <w:left w:w="240" w:type="dxa"/>
              <w:bottom w:w="150" w:type="dxa"/>
              <w:right w:w="240" w:type="dxa"/>
            </w:tcMar>
            <w:vAlign w:val="center"/>
          </w:tcPr>
          <w:p w14:paraId="6C132006">
            <w:pPr>
              <w:rPr>
                <w:rFonts w:hint="eastAsia"/>
              </w:rPr>
            </w:pPr>
            <w:r>
              <w:t>数量</w:t>
            </w:r>
          </w:p>
        </w:tc>
      </w:tr>
      <w:tr w14:paraId="3AE4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5" w:type="dxa"/>
            <w:tcMar>
              <w:top w:w="150" w:type="dxa"/>
              <w:left w:w="0" w:type="dxa"/>
              <w:bottom w:w="150" w:type="dxa"/>
              <w:right w:w="240" w:type="dxa"/>
            </w:tcMar>
            <w:vAlign w:val="center"/>
          </w:tcPr>
          <w:p w14:paraId="0F8BD970">
            <w:pPr>
              <w:rPr>
                <w:rFonts w:hint="eastAsia" w:ascii="仿宋" w:hAnsi="仿宋" w:eastAsia="仿宋"/>
                <w:sz w:val="24"/>
                <w:szCs w:val="24"/>
              </w:rPr>
            </w:pPr>
            <w:r>
              <w:rPr>
                <w:rFonts w:ascii="仿宋" w:hAnsi="仿宋" w:eastAsia="仿宋"/>
                <w:b/>
                <w:bCs/>
                <w:sz w:val="24"/>
                <w:szCs w:val="24"/>
              </w:rPr>
              <w:t>1</w:t>
            </w:r>
          </w:p>
        </w:tc>
        <w:tc>
          <w:tcPr>
            <w:tcW w:w="839" w:type="dxa"/>
            <w:tcMar>
              <w:top w:w="150" w:type="dxa"/>
              <w:left w:w="240" w:type="dxa"/>
              <w:bottom w:w="150" w:type="dxa"/>
              <w:right w:w="240" w:type="dxa"/>
            </w:tcMar>
            <w:vAlign w:val="center"/>
          </w:tcPr>
          <w:p w14:paraId="474A7403">
            <w:pPr>
              <w:rPr>
                <w:rFonts w:hint="eastAsia" w:ascii="仿宋" w:hAnsi="仿宋" w:eastAsia="仿宋"/>
                <w:sz w:val="24"/>
                <w:szCs w:val="24"/>
              </w:rPr>
            </w:pPr>
            <w:r>
              <w:rPr>
                <w:rFonts w:ascii="仿宋" w:hAnsi="仿宋" w:eastAsia="仿宋" w:cs="仿宋"/>
                <w:sz w:val="30"/>
                <w:szCs w:val="30"/>
                <w:shd w:val="clear" w:color="auto" w:fill="FFFFFF"/>
              </w:rPr>
              <w:t>▲</w:t>
            </w:r>
            <w:r>
              <w:rPr>
                <w:rFonts w:hint="eastAsia" w:ascii="仿宋" w:hAnsi="仿宋" w:eastAsia="仿宋"/>
                <w:b/>
                <w:bCs/>
                <w:sz w:val="24"/>
                <w:szCs w:val="24"/>
                <w:lang w:val="en-US" w:eastAsia="zh-CN"/>
              </w:rPr>
              <w:t>仙葫、明秀两校区“</w:t>
            </w:r>
            <w:r>
              <w:rPr>
                <w:rFonts w:hint="eastAsia" w:ascii="仿宋" w:hAnsi="仿宋" w:eastAsia="仿宋"/>
                <w:b/>
                <w:bCs/>
                <w:sz w:val="24"/>
                <w:szCs w:val="24"/>
              </w:rPr>
              <w:t>灭四害</w:t>
            </w:r>
            <w:r>
              <w:rPr>
                <w:rFonts w:hint="eastAsia" w:ascii="仿宋" w:hAnsi="仿宋" w:eastAsia="仿宋"/>
                <w:b/>
                <w:bCs/>
                <w:sz w:val="24"/>
                <w:szCs w:val="24"/>
                <w:lang w:val="en-US" w:eastAsia="zh-CN"/>
              </w:rPr>
              <w:t>”</w:t>
            </w:r>
            <w:r>
              <w:rPr>
                <w:rFonts w:hint="eastAsia" w:ascii="仿宋" w:hAnsi="仿宋" w:eastAsia="仿宋"/>
                <w:b/>
                <w:bCs/>
                <w:sz w:val="24"/>
                <w:szCs w:val="24"/>
              </w:rPr>
              <w:t>服务</w:t>
            </w:r>
          </w:p>
        </w:tc>
        <w:tc>
          <w:tcPr>
            <w:tcW w:w="6431" w:type="dxa"/>
            <w:tcMar>
              <w:top w:w="150" w:type="dxa"/>
              <w:left w:w="240" w:type="dxa"/>
              <w:bottom w:w="150" w:type="dxa"/>
              <w:right w:w="240" w:type="dxa"/>
            </w:tcMar>
            <w:vAlign w:val="center"/>
          </w:tcPr>
          <w:p w14:paraId="040EE13F">
            <w:pPr>
              <w:keepNext w:val="0"/>
              <w:keepLines w:val="0"/>
              <w:pageBreakBefore w:val="0"/>
              <w:widowControl w:val="0"/>
              <w:numPr>
                <w:ilvl w:val="0"/>
                <w:numId w:val="2"/>
              </w:numPr>
              <w:tabs>
                <w:tab w:val="center" w:pos="2729"/>
              </w:tabs>
              <w:kinsoku/>
              <w:wordWrap/>
              <w:overflowPunct/>
              <w:topLinePunct w:val="0"/>
              <w:autoSpaceDE/>
              <w:autoSpaceDN/>
              <w:bidi w:val="0"/>
              <w:adjustRightInd w:val="0"/>
              <w:snapToGrid w:val="0"/>
              <w:spacing w:line="240" w:lineRule="auto"/>
              <w:ind w:left="0" w:leftChars="0" w:firstLine="420" w:firstLineChars="0"/>
              <w:textAlignment w:val="auto"/>
              <w:rPr>
                <w:rFonts w:hint="eastAsia" w:ascii="楷体" w:hAnsi="楷体" w:eastAsia="楷体" w:cs="楷体"/>
                <w:b w:val="0"/>
                <w:bCs w:val="0"/>
                <w:sz w:val="30"/>
                <w:szCs w:val="30"/>
                <w:lang w:eastAsia="zh-CN"/>
              </w:rPr>
            </w:pPr>
            <w:r>
              <w:rPr>
                <w:rFonts w:hint="eastAsia" w:ascii="楷体" w:hAnsi="楷体" w:eastAsia="楷体" w:cs="楷体"/>
                <w:b w:val="0"/>
                <w:bCs w:val="0"/>
                <w:sz w:val="30"/>
                <w:szCs w:val="30"/>
                <w:lang w:eastAsia="zh-CN"/>
              </w:rPr>
              <w:t>基本情况</w:t>
            </w:r>
          </w:p>
          <w:p w14:paraId="27175B39">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负责完成明秀、仙葫两校区规划蓝图内公共区域</w:t>
            </w:r>
            <w:r>
              <w:rPr>
                <w:rFonts w:hint="eastAsia" w:ascii="仿宋_GB2312" w:hAnsi="仿宋_GB2312" w:eastAsia="仿宋_GB2312" w:cs="仿宋_GB2312"/>
                <w:sz w:val="30"/>
                <w:szCs w:val="30"/>
                <w:lang w:eastAsia="zh-CN"/>
              </w:rPr>
              <w:t>（除校内食堂区域外）、</w:t>
            </w:r>
            <w:r>
              <w:rPr>
                <w:rFonts w:hint="eastAsia" w:ascii="仿宋_GB2312" w:hAnsi="仿宋_GB2312" w:eastAsia="仿宋_GB2312" w:cs="仿宋_GB2312"/>
                <w:sz w:val="30"/>
                <w:szCs w:val="30"/>
              </w:rPr>
              <w:t>办公室、教学区域、实验室、体育场、运动场、卫生间等</w:t>
            </w:r>
            <w:r>
              <w:rPr>
                <w:rFonts w:hint="eastAsia" w:ascii="仿宋_GB2312" w:hAnsi="仿宋_GB2312" w:eastAsia="仿宋_GB2312" w:cs="仿宋_GB2312"/>
                <w:sz w:val="30"/>
                <w:szCs w:val="30"/>
                <w:lang w:val="en-US" w:eastAsia="zh-CN"/>
              </w:rPr>
              <w:t>常规性</w:t>
            </w:r>
            <w:r>
              <w:rPr>
                <w:rFonts w:hint="eastAsia" w:ascii="仿宋_GB2312" w:hAnsi="仿宋_GB2312" w:eastAsia="仿宋_GB2312" w:cs="仿宋_GB2312"/>
                <w:sz w:val="30"/>
                <w:szCs w:val="30"/>
                <w:lang w:eastAsia="zh-CN"/>
              </w:rPr>
              <w:t>消杀</w:t>
            </w:r>
            <w:r>
              <w:rPr>
                <w:rFonts w:hint="eastAsia" w:ascii="仿宋_GB2312" w:hAnsi="仿宋_GB2312" w:eastAsia="仿宋_GB2312" w:cs="仿宋_GB2312"/>
                <w:sz w:val="30"/>
                <w:szCs w:val="30"/>
              </w:rPr>
              <w:t>“四害”</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老鼠、蟑螂、蚊蝇、白蚁、蚂蚁、防蛇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工作</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不含校内突发传染病疫情消杀工作</w:t>
            </w:r>
            <w:r>
              <w:rPr>
                <w:rFonts w:hint="eastAsia" w:ascii="仿宋_GB2312" w:hAnsi="仿宋_GB2312" w:eastAsia="仿宋_GB2312" w:cs="仿宋_GB2312"/>
                <w:sz w:val="30"/>
                <w:szCs w:val="30"/>
              </w:rPr>
              <w:t>。</w:t>
            </w:r>
          </w:p>
          <w:p w14:paraId="4EDC29D4">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textAlignment w:val="auto"/>
              <w:rPr>
                <w:rFonts w:hint="eastAsia" w:ascii="仿宋_GB2312" w:hAnsi="仿宋_GB2312" w:eastAsia="仿宋_GB2312" w:cs="仿宋_GB2312"/>
                <w:sz w:val="30"/>
                <w:szCs w:val="30"/>
              </w:rPr>
            </w:pPr>
          </w:p>
          <w:p w14:paraId="00402860">
            <w:pPr>
              <w:keepNext w:val="0"/>
              <w:keepLines w:val="0"/>
              <w:pageBreakBefore w:val="0"/>
              <w:widowControl w:val="0"/>
              <w:numPr>
                <w:ilvl w:val="0"/>
                <w:numId w:val="2"/>
              </w:numPr>
              <w:tabs>
                <w:tab w:val="center" w:pos="2729"/>
              </w:tabs>
              <w:kinsoku/>
              <w:wordWrap/>
              <w:overflowPunct/>
              <w:topLinePunct w:val="0"/>
              <w:autoSpaceDE/>
              <w:autoSpaceDN/>
              <w:bidi w:val="0"/>
              <w:adjustRightInd w:val="0"/>
              <w:snapToGrid w:val="0"/>
              <w:spacing w:line="240" w:lineRule="auto"/>
              <w:ind w:left="0" w:leftChars="0" w:firstLine="420" w:firstLineChars="0"/>
              <w:textAlignment w:val="auto"/>
              <w:rPr>
                <w:rFonts w:hint="eastAsia" w:ascii="楷体" w:hAnsi="楷体" w:eastAsia="楷体" w:cs="楷体"/>
                <w:b w:val="0"/>
                <w:bCs w:val="0"/>
                <w:sz w:val="30"/>
                <w:szCs w:val="30"/>
                <w:lang w:eastAsia="zh-CN"/>
              </w:rPr>
            </w:pPr>
            <w:r>
              <w:rPr>
                <w:rFonts w:hint="eastAsia" w:ascii="楷体" w:hAnsi="楷体" w:eastAsia="楷体" w:cs="楷体"/>
                <w:b w:val="0"/>
                <w:bCs w:val="0"/>
                <w:sz w:val="30"/>
                <w:szCs w:val="30"/>
                <w:lang w:eastAsia="zh-CN"/>
              </w:rPr>
              <w:t>工作要求</w:t>
            </w:r>
          </w:p>
          <w:p w14:paraId="79B010DA">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常规每月进行“四害”消杀一次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寒暑假期间消杀工作正常进行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，如遇特殊情况</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包括但不限于四害高发时期应急处置、师生投诉应急处置等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，随叫随到，按需要增加消杀频次。</w:t>
            </w:r>
          </w:p>
          <w:p w14:paraId="66320C32">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配合甲方进行</w:t>
            </w:r>
            <w:r>
              <w:rPr>
                <w:rFonts w:hint="eastAsia" w:ascii="仿宋_GB2312" w:hAnsi="仿宋_GB2312" w:eastAsia="仿宋_GB2312" w:cs="仿宋_GB2312"/>
                <w:sz w:val="30"/>
                <w:szCs w:val="30"/>
                <w:lang w:eastAsia="zh-CN"/>
              </w:rPr>
              <w:t>其他病</w:t>
            </w:r>
            <w:r>
              <w:rPr>
                <w:rFonts w:hint="eastAsia" w:ascii="仿宋_GB2312" w:hAnsi="仿宋_GB2312" w:eastAsia="仿宋_GB2312" w:cs="仿宋_GB2312"/>
                <w:sz w:val="30"/>
                <w:szCs w:val="30"/>
              </w:rPr>
              <w:t>虫媒防治工作。</w:t>
            </w:r>
          </w:p>
          <w:p w14:paraId="35FC66D4">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乙方负责指导甲方做好防鼠防虫工作。</w:t>
            </w:r>
          </w:p>
          <w:p w14:paraId="1A1179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30"/>
                <w:szCs w:val="30"/>
              </w:rPr>
            </w:pPr>
          </w:p>
          <w:p w14:paraId="3112CE1D">
            <w:pPr>
              <w:keepNext w:val="0"/>
              <w:keepLines w:val="0"/>
              <w:pageBreakBefore w:val="0"/>
              <w:widowControl w:val="0"/>
              <w:numPr>
                <w:ilvl w:val="0"/>
                <w:numId w:val="2"/>
              </w:numPr>
              <w:tabs>
                <w:tab w:val="center" w:pos="2729"/>
              </w:tabs>
              <w:kinsoku/>
              <w:wordWrap/>
              <w:overflowPunct/>
              <w:topLinePunct w:val="0"/>
              <w:autoSpaceDE/>
              <w:autoSpaceDN/>
              <w:bidi w:val="0"/>
              <w:adjustRightInd w:val="0"/>
              <w:snapToGrid w:val="0"/>
              <w:spacing w:line="240" w:lineRule="auto"/>
              <w:ind w:left="0" w:leftChars="0" w:firstLine="420" w:firstLineChars="0"/>
              <w:textAlignment w:val="auto"/>
              <w:rPr>
                <w:rFonts w:hint="eastAsia" w:ascii="楷体" w:hAnsi="楷体" w:eastAsia="楷体" w:cs="楷体"/>
                <w:b w:val="0"/>
                <w:bCs w:val="0"/>
                <w:sz w:val="30"/>
                <w:szCs w:val="30"/>
                <w:lang w:eastAsia="zh-CN"/>
              </w:rPr>
            </w:pPr>
            <w:r>
              <w:rPr>
                <w:rFonts w:hint="eastAsia" w:ascii="楷体" w:hAnsi="楷体" w:eastAsia="楷体" w:cs="楷体"/>
                <w:b w:val="0"/>
                <w:bCs w:val="0"/>
                <w:sz w:val="30"/>
                <w:szCs w:val="30"/>
                <w:lang w:eastAsia="zh-CN"/>
              </w:rPr>
              <w:t>技术要求</w:t>
            </w:r>
          </w:p>
          <w:p w14:paraId="6253DF96">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灭鼠方法</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采用符合国家标准的专业消杀药品或同等效力替代产品进行灭鼠。</w:t>
            </w:r>
          </w:p>
          <w:p w14:paraId="46249FC0">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灭蟑螂方法</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采用符合国家标准的专业消杀药品或同等效力替代产品进行灭蟑。</w:t>
            </w:r>
          </w:p>
          <w:p w14:paraId="7E1B6A71">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灭蚊灭苍蝇方法</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采用符合国家标准的专业消杀药品或同等效力替代产品进行杀蚊灭蝇。</w:t>
            </w:r>
          </w:p>
          <w:p w14:paraId="6A6B0B1B">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灭活白蚁</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根据白蚁有相互舔食的生活习惯，采用符合国家标准的专业消杀药品或同等效力替代产品进行</w:t>
            </w:r>
            <w:r>
              <w:rPr>
                <w:rFonts w:hint="eastAsia" w:ascii="仿宋_GB2312" w:hAnsi="仿宋_GB2312" w:eastAsia="仿宋_GB2312" w:cs="仿宋_GB2312"/>
                <w:sz w:val="30"/>
                <w:szCs w:val="30"/>
                <w:lang w:val="en-US" w:eastAsia="zh-CN"/>
              </w:rPr>
              <w:t>对</w:t>
            </w:r>
            <w:r>
              <w:rPr>
                <w:rFonts w:hint="eastAsia" w:ascii="仿宋_GB2312" w:hAnsi="仿宋_GB2312" w:eastAsia="仿宋_GB2312" w:cs="仿宋_GB2312"/>
                <w:sz w:val="30"/>
                <w:szCs w:val="30"/>
              </w:rPr>
              <w:t>白蚁活动的木门、木窗、木制品、树头、树干、墙角等区域</w:t>
            </w:r>
            <w:r>
              <w:rPr>
                <w:rFonts w:hint="eastAsia" w:ascii="仿宋_GB2312" w:hAnsi="仿宋_GB2312" w:eastAsia="仿宋_GB2312" w:cs="仿宋_GB2312"/>
                <w:sz w:val="30"/>
                <w:szCs w:val="30"/>
                <w:lang w:eastAsia="zh-CN"/>
              </w:rPr>
              <w:t>进行消杀</w:t>
            </w:r>
            <w:r>
              <w:rPr>
                <w:rFonts w:hint="eastAsia" w:ascii="仿宋_GB2312" w:hAnsi="仿宋_GB2312" w:eastAsia="仿宋_GB2312" w:cs="仿宋_GB2312"/>
                <w:sz w:val="30"/>
                <w:szCs w:val="30"/>
                <w:lang w:val="en-US" w:eastAsia="zh-CN"/>
              </w:rPr>
              <w:t>达到</w:t>
            </w:r>
            <w:r>
              <w:rPr>
                <w:rFonts w:hint="eastAsia" w:ascii="仿宋_GB2312" w:hAnsi="仿宋_GB2312" w:eastAsia="仿宋_GB2312" w:cs="仿宋_GB2312"/>
                <w:sz w:val="30"/>
                <w:szCs w:val="30"/>
                <w:lang w:eastAsia="zh-CN"/>
              </w:rPr>
              <w:t>根治的效果。</w:t>
            </w:r>
          </w:p>
          <w:p w14:paraId="36D7B626">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蚂蚁：</w:t>
            </w:r>
            <w:r>
              <w:rPr>
                <w:rFonts w:hint="eastAsia" w:ascii="仿宋_GB2312" w:hAnsi="仿宋_GB2312" w:eastAsia="仿宋_GB2312" w:cs="仿宋_GB2312"/>
                <w:sz w:val="30"/>
                <w:szCs w:val="30"/>
              </w:rPr>
              <w:t>采用符合国家标准的专业消杀药品或同等效力替代产品进行对蚁巢进行灭治，</w:t>
            </w:r>
            <w:r>
              <w:rPr>
                <w:rFonts w:hint="eastAsia" w:ascii="仿宋_GB2312" w:hAnsi="仿宋_GB2312" w:eastAsia="仿宋_GB2312" w:cs="仿宋_GB2312"/>
                <w:sz w:val="30"/>
                <w:szCs w:val="30"/>
                <w:lang w:val="en-US" w:eastAsia="zh-CN"/>
              </w:rPr>
              <w:t>达到消杀整治的效果</w:t>
            </w:r>
            <w:r>
              <w:rPr>
                <w:rFonts w:hint="eastAsia" w:ascii="仿宋_GB2312" w:hAnsi="仿宋_GB2312" w:eastAsia="仿宋_GB2312" w:cs="仿宋_GB2312"/>
                <w:sz w:val="30"/>
                <w:szCs w:val="30"/>
              </w:rPr>
              <w:t>。</w:t>
            </w:r>
          </w:p>
          <w:p w14:paraId="009B1B64">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防蛇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每月</w:t>
            </w:r>
            <w:r>
              <w:rPr>
                <w:rFonts w:hint="eastAsia" w:ascii="仿宋_GB2312" w:hAnsi="仿宋_GB2312" w:eastAsia="仿宋_GB2312" w:cs="仿宋_GB2312"/>
                <w:sz w:val="30"/>
                <w:szCs w:val="30"/>
                <w:lang w:val="en-US" w:eastAsia="zh-CN"/>
              </w:rPr>
              <w:t>在</w:t>
            </w:r>
            <w:r>
              <w:rPr>
                <w:rFonts w:hint="eastAsia" w:ascii="仿宋_GB2312" w:hAnsi="仿宋_GB2312" w:eastAsia="仿宋_GB2312" w:cs="仿宋_GB2312"/>
                <w:sz w:val="30"/>
                <w:szCs w:val="30"/>
                <w:lang w:eastAsia="zh-CN"/>
              </w:rPr>
              <w:t>学校</w:t>
            </w:r>
            <w:r>
              <w:rPr>
                <w:rFonts w:hint="eastAsia" w:ascii="仿宋_GB2312" w:hAnsi="仿宋_GB2312" w:eastAsia="仿宋_GB2312" w:cs="仿宋_GB2312"/>
                <w:sz w:val="30"/>
                <w:szCs w:val="30"/>
              </w:rPr>
              <w:t>内建筑物沿墙根四周布放一次符合国家标准的专业消杀药品或同等效力替代产品进行驱蛇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防蛇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安装迁移蛇笼</w:t>
            </w:r>
            <w:r>
              <w:rPr>
                <w:rFonts w:hint="eastAsia" w:ascii="仿宋_GB2312" w:hAnsi="仿宋_GB2312" w:eastAsia="仿宋_GB2312" w:cs="仿宋_GB2312"/>
                <w:sz w:val="30"/>
                <w:szCs w:val="30"/>
                <w:lang w:val="en-US" w:eastAsia="zh-CN"/>
              </w:rPr>
              <w:t>等</w:t>
            </w:r>
            <w:r>
              <w:rPr>
                <w:rFonts w:hint="eastAsia" w:ascii="仿宋_GB2312" w:hAnsi="仿宋_GB2312" w:eastAsia="仿宋_GB2312" w:cs="仿宋_GB2312"/>
                <w:sz w:val="30"/>
                <w:szCs w:val="30"/>
              </w:rPr>
              <w:t>。特殊情况随时处理。</w:t>
            </w:r>
          </w:p>
          <w:p w14:paraId="6897B66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30"/>
                <w:szCs w:val="30"/>
              </w:rPr>
            </w:pPr>
          </w:p>
          <w:p w14:paraId="21D743DC">
            <w:pPr>
              <w:keepNext w:val="0"/>
              <w:keepLines w:val="0"/>
              <w:pageBreakBefore w:val="0"/>
              <w:widowControl w:val="0"/>
              <w:numPr>
                <w:ilvl w:val="0"/>
                <w:numId w:val="2"/>
              </w:numPr>
              <w:tabs>
                <w:tab w:val="center" w:pos="2729"/>
              </w:tabs>
              <w:kinsoku/>
              <w:wordWrap/>
              <w:overflowPunct/>
              <w:topLinePunct w:val="0"/>
              <w:autoSpaceDE/>
              <w:autoSpaceDN/>
              <w:bidi w:val="0"/>
              <w:adjustRightInd w:val="0"/>
              <w:snapToGrid w:val="0"/>
              <w:spacing w:line="240" w:lineRule="auto"/>
              <w:ind w:left="0" w:leftChars="0" w:firstLine="420" w:firstLineChars="0"/>
              <w:textAlignment w:val="auto"/>
              <w:rPr>
                <w:rFonts w:hint="eastAsia" w:ascii="楷体" w:hAnsi="楷体" w:eastAsia="楷体" w:cs="楷体"/>
                <w:b w:val="0"/>
                <w:bCs w:val="0"/>
                <w:sz w:val="30"/>
                <w:szCs w:val="30"/>
                <w:lang w:eastAsia="zh-CN"/>
              </w:rPr>
            </w:pPr>
            <w:r>
              <w:rPr>
                <w:rFonts w:hint="eastAsia" w:ascii="楷体" w:hAnsi="楷体" w:eastAsia="楷体" w:cs="楷体"/>
                <w:b w:val="0"/>
                <w:bCs w:val="0"/>
                <w:sz w:val="30"/>
                <w:szCs w:val="30"/>
                <w:lang w:eastAsia="zh-CN"/>
              </w:rPr>
              <w:t>服务效果</w:t>
            </w:r>
          </w:p>
          <w:p w14:paraId="50EFAFDD">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灭鼠标准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有鼠洞、鼠类、鼠咬等痕迹的房间超过2%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重点防鼠设施不合格处不超过5%</w:t>
            </w:r>
            <w:r>
              <w:rPr>
                <w:rFonts w:hint="eastAsia" w:ascii="仿宋_GB2312" w:hAnsi="仿宋_GB2312" w:eastAsia="仿宋_GB2312" w:cs="仿宋_GB2312"/>
                <w:sz w:val="30"/>
                <w:szCs w:val="30"/>
                <w:lang w:eastAsia="zh-CN"/>
              </w:rPr>
              <w:t>。</w:t>
            </w:r>
          </w:p>
          <w:p w14:paraId="656D42BE">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灭蚊标准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单位内外环境各种存水容器和积水中，蚊幼虫及蛹的阳性率不超过3%</w:t>
            </w:r>
            <w:r>
              <w:rPr>
                <w:rFonts w:hint="eastAsia" w:ascii="仿宋_GB2312" w:hAnsi="仿宋_GB2312" w:eastAsia="仿宋_GB2312" w:cs="仿宋_GB2312"/>
                <w:sz w:val="30"/>
                <w:szCs w:val="30"/>
                <w:lang w:eastAsia="zh-CN"/>
              </w:rPr>
              <w:t>。</w:t>
            </w:r>
          </w:p>
          <w:p w14:paraId="4D02483C">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灭蝇标准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加工、销售直接入口食品的场所无蝇。蝇类孽生地得到有效治理，幼虫和蛹的检出率不超过3%</w:t>
            </w:r>
            <w:r>
              <w:rPr>
                <w:rFonts w:hint="eastAsia" w:ascii="仿宋_GB2312" w:hAnsi="仿宋_GB2312" w:eastAsia="仿宋_GB2312" w:cs="仿宋_GB2312"/>
                <w:sz w:val="30"/>
                <w:szCs w:val="30"/>
                <w:lang w:eastAsia="zh-CN"/>
              </w:rPr>
              <w:t>。</w:t>
            </w:r>
          </w:p>
          <w:p w14:paraId="3918BCA3">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灭蟑螂标准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室内有蟑螂成虫或若虫阳性房间</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30m</w:t>
            </w:r>
            <w:r>
              <w:rPr>
                <w:rFonts w:hint="eastAsia" w:ascii="仿宋_GB2312" w:hAnsi="仿宋_GB2312" w:eastAsia="仿宋_GB2312" w:cs="仿宋_GB2312"/>
                <w:sz w:val="30"/>
                <w:szCs w:val="30"/>
                <w:vertAlign w:val="superscript"/>
              </w:rPr>
              <w:t>2</w:t>
            </w:r>
            <w:r>
              <w:rPr>
                <w:rFonts w:hint="eastAsia" w:ascii="仿宋_GB2312" w:hAnsi="仿宋_GB2312" w:eastAsia="仿宋_GB2312" w:cs="仿宋_GB2312"/>
                <w:sz w:val="30"/>
                <w:szCs w:val="30"/>
              </w:rPr>
              <w:t>为一间标准间</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不超过3%，平均每间房大蠊不超过5只，小蠊不超过10只</w:t>
            </w:r>
            <w:r>
              <w:rPr>
                <w:rFonts w:hint="eastAsia" w:ascii="仿宋_GB2312" w:hAnsi="仿宋_GB2312" w:eastAsia="仿宋_GB2312" w:cs="仿宋_GB2312"/>
                <w:sz w:val="30"/>
                <w:szCs w:val="30"/>
                <w:lang w:eastAsia="zh-CN"/>
              </w:rPr>
              <w:t>。</w:t>
            </w:r>
          </w:p>
          <w:p w14:paraId="0134DF14">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灭白蚁、蚂蚁标准</w:t>
            </w:r>
            <w:r>
              <w:rPr>
                <w:rFonts w:hint="eastAsia" w:ascii="仿宋_GB2312" w:hAnsi="仿宋_GB2312" w:eastAsia="仿宋_GB2312" w:cs="仿宋_GB2312"/>
                <w:sz w:val="30"/>
                <w:szCs w:val="30"/>
                <w:lang w:eastAsia="zh-CN"/>
              </w:rPr>
              <w:t>：旧</w:t>
            </w:r>
            <w:r>
              <w:rPr>
                <w:rFonts w:hint="eastAsia" w:ascii="仿宋_GB2312" w:hAnsi="仿宋_GB2312" w:eastAsia="仿宋_GB2312" w:cs="仿宋_GB2312"/>
                <w:sz w:val="30"/>
                <w:szCs w:val="30"/>
              </w:rPr>
              <w:t>蚁巢无白蚁、蚂蚁</w:t>
            </w:r>
            <w:r>
              <w:rPr>
                <w:rFonts w:hint="eastAsia" w:ascii="仿宋_GB2312" w:hAnsi="仿宋_GB2312" w:eastAsia="仿宋_GB2312" w:cs="仿宋_GB2312"/>
                <w:sz w:val="30"/>
                <w:szCs w:val="30"/>
                <w:lang w:eastAsia="zh-CN"/>
              </w:rPr>
              <w:t>。</w:t>
            </w:r>
          </w:p>
          <w:p w14:paraId="490A6230">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防蛇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在有蛇出没处进行驱赶，预防。</w:t>
            </w:r>
          </w:p>
          <w:p w14:paraId="43AF2EC1">
            <w:pPr>
              <w:rPr>
                <w:rFonts w:hint="eastAsia" w:ascii="仿宋" w:hAnsi="仿宋" w:eastAsia="仿宋"/>
                <w:sz w:val="24"/>
                <w:szCs w:val="24"/>
              </w:rPr>
            </w:pPr>
            <w:r>
              <w:rPr>
                <w:rFonts w:hint="eastAsia" w:ascii="仿宋_GB2312" w:hAnsi="仿宋_GB2312" w:eastAsia="仿宋_GB2312" w:cs="仿宋_GB2312"/>
                <w:sz w:val="30"/>
                <w:szCs w:val="30"/>
              </w:rPr>
              <w:t>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项目执行过程中如因我校工作需求、项目升级等原因导致的大纲调整，则以最终实际执行大纲为准</w:t>
            </w:r>
            <w:r>
              <w:rPr>
                <w:rFonts w:hint="eastAsia" w:ascii="仿宋_GB2312" w:hAnsi="仿宋_GB2312" w:eastAsia="仿宋_GB2312" w:cs="仿宋_GB2312"/>
                <w:sz w:val="30"/>
                <w:szCs w:val="30"/>
                <w:lang w:eastAsia="zh-CN"/>
              </w:rPr>
              <w:t>。</w:t>
            </w:r>
          </w:p>
        </w:tc>
        <w:tc>
          <w:tcPr>
            <w:tcW w:w="690" w:type="dxa"/>
            <w:tcMar>
              <w:top w:w="150" w:type="dxa"/>
              <w:left w:w="240" w:type="dxa"/>
              <w:bottom w:w="150" w:type="dxa"/>
              <w:right w:w="240" w:type="dxa"/>
            </w:tcMar>
            <w:vAlign w:val="center"/>
          </w:tcPr>
          <w:p w14:paraId="47BDD906">
            <w:pPr>
              <w:rPr>
                <w:rFonts w:hint="eastAsia"/>
              </w:rPr>
            </w:pPr>
          </w:p>
        </w:tc>
      </w:tr>
    </w:tbl>
    <w:p w14:paraId="3936CEA9">
      <w:pPr>
        <w:pStyle w:val="2"/>
        <w:widowControl/>
        <w:shd w:val="clear" w:color="auto" w:fill="FFFFFF"/>
        <w:spacing w:before="0" w:beforeAutospacing="0" w:after="0" w:afterAutospacing="0" w:line="560" w:lineRule="atLeast"/>
        <w:ind w:firstLine="426" w:firstLineChars="142"/>
        <w:jc w:val="both"/>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2.</w:t>
      </w:r>
      <w:r>
        <w:rPr>
          <w:rFonts w:ascii="仿宋" w:hAnsi="仿宋" w:eastAsia="仿宋" w:cs="仿宋"/>
          <w:sz w:val="30"/>
          <w:szCs w:val="30"/>
          <w:shd w:val="clear" w:color="auto" w:fill="FFFFFF"/>
        </w:rPr>
        <w:t>商务条款响应</w:t>
      </w:r>
    </w:p>
    <w:tbl>
      <w:tblPr>
        <w:tblStyle w:val="3"/>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848"/>
        <w:gridCol w:w="4536"/>
        <w:gridCol w:w="2121"/>
      </w:tblGrid>
      <w:tr w14:paraId="5A06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1" w:hRule="atLeast"/>
          <w:tblHeader/>
        </w:trPr>
        <w:tc>
          <w:tcPr>
            <w:tcW w:w="1848" w:type="dxa"/>
            <w:tcMar>
              <w:top w:w="150" w:type="dxa"/>
              <w:left w:w="0" w:type="dxa"/>
              <w:bottom w:w="150" w:type="dxa"/>
              <w:right w:w="240" w:type="dxa"/>
            </w:tcMar>
            <w:vAlign w:val="center"/>
          </w:tcPr>
          <w:p w14:paraId="7FBD4272">
            <w:pPr>
              <w:rPr>
                <w:rFonts w:hint="eastAsia" w:ascii="仿宋" w:hAnsi="仿宋" w:eastAsia="仿宋"/>
                <w:sz w:val="24"/>
                <w:szCs w:val="24"/>
              </w:rPr>
            </w:pPr>
            <w:r>
              <w:rPr>
                <w:rFonts w:ascii="仿宋" w:hAnsi="仿宋" w:eastAsia="仿宋"/>
                <w:sz w:val="24"/>
                <w:szCs w:val="24"/>
              </w:rPr>
              <w:t>条款</w:t>
            </w:r>
          </w:p>
        </w:tc>
        <w:tc>
          <w:tcPr>
            <w:tcW w:w="4536" w:type="dxa"/>
            <w:tcMar>
              <w:top w:w="150" w:type="dxa"/>
              <w:left w:w="240" w:type="dxa"/>
              <w:bottom w:w="150" w:type="dxa"/>
              <w:right w:w="240" w:type="dxa"/>
            </w:tcMar>
            <w:vAlign w:val="center"/>
          </w:tcPr>
          <w:p w14:paraId="01C7619E">
            <w:pPr>
              <w:rPr>
                <w:rFonts w:hint="eastAsia" w:ascii="仿宋" w:hAnsi="仿宋" w:eastAsia="仿宋"/>
                <w:sz w:val="24"/>
                <w:szCs w:val="24"/>
              </w:rPr>
            </w:pPr>
            <w:r>
              <w:rPr>
                <w:rFonts w:ascii="仿宋" w:hAnsi="仿宋" w:eastAsia="仿宋"/>
                <w:sz w:val="24"/>
                <w:szCs w:val="24"/>
              </w:rPr>
              <w:t>采购人要求</w:t>
            </w:r>
          </w:p>
        </w:tc>
        <w:tc>
          <w:tcPr>
            <w:tcW w:w="2121" w:type="dxa"/>
            <w:tcMar>
              <w:top w:w="150" w:type="dxa"/>
              <w:left w:w="240" w:type="dxa"/>
              <w:bottom w:w="150" w:type="dxa"/>
              <w:right w:w="240" w:type="dxa"/>
            </w:tcMar>
            <w:vAlign w:val="center"/>
          </w:tcPr>
          <w:p w14:paraId="156CC6C5">
            <w:pPr>
              <w:rPr>
                <w:rFonts w:hint="eastAsia" w:ascii="仿宋" w:hAnsi="仿宋" w:eastAsia="仿宋"/>
                <w:sz w:val="24"/>
                <w:szCs w:val="24"/>
              </w:rPr>
            </w:pPr>
            <w:r>
              <w:rPr>
                <w:rFonts w:ascii="仿宋" w:hAnsi="仿宋" w:eastAsia="仿宋"/>
                <w:szCs w:val="21"/>
              </w:rPr>
              <w:t>报价人响应（请填写“完全响应”或具体承诺）</w:t>
            </w:r>
          </w:p>
        </w:tc>
      </w:tr>
      <w:tr w14:paraId="6866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80" w:hRule="atLeast"/>
        </w:trPr>
        <w:tc>
          <w:tcPr>
            <w:tcW w:w="1848" w:type="dxa"/>
            <w:tcMar>
              <w:top w:w="150" w:type="dxa"/>
              <w:left w:w="0" w:type="dxa"/>
              <w:bottom w:w="150" w:type="dxa"/>
              <w:right w:w="240" w:type="dxa"/>
            </w:tcMar>
            <w:vAlign w:val="center"/>
          </w:tcPr>
          <w:p w14:paraId="4AEDA17B">
            <w:pPr>
              <w:rPr>
                <w:rFonts w:hint="eastAsia" w:ascii="仿宋" w:hAnsi="仿宋" w:eastAsia="仿宋"/>
                <w:sz w:val="24"/>
                <w:szCs w:val="24"/>
              </w:rPr>
            </w:pPr>
            <w:r>
              <w:rPr>
                <w:rFonts w:ascii="仿宋" w:hAnsi="仿宋" w:eastAsia="仿宋" w:cs="仿宋"/>
                <w:sz w:val="30"/>
                <w:szCs w:val="30"/>
                <w:shd w:val="clear" w:color="auto" w:fill="FFFFFF"/>
              </w:rPr>
              <w:t>▲</w:t>
            </w:r>
            <w:r>
              <w:rPr>
                <w:rFonts w:hint="eastAsia" w:ascii="仿宋" w:hAnsi="仿宋" w:eastAsia="仿宋"/>
                <w:sz w:val="24"/>
                <w:szCs w:val="24"/>
              </w:rPr>
              <w:t>要求</w:t>
            </w:r>
          </w:p>
        </w:tc>
        <w:tc>
          <w:tcPr>
            <w:tcW w:w="4536" w:type="dxa"/>
            <w:tcMar>
              <w:top w:w="150" w:type="dxa"/>
              <w:left w:w="240" w:type="dxa"/>
              <w:bottom w:w="150" w:type="dxa"/>
              <w:right w:w="240" w:type="dxa"/>
            </w:tcMar>
            <w:vAlign w:val="center"/>
          </w:tcPr>
          <w:p w14:paraId="531DD8C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服务时间：二年</w:t>
            </w:r>
          </w:p>
          <w:p w14:paraId="7E5DB24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售后服务要求：经常回访检查校园“四害”消杀情况，及时出具相关消杀报告。</w:t>
            </w:r>
          </w:p>
          <w:p w14:paraId="1893B19F">
            <w:pPr>
              <w:rPr>
                <w:rFonts w:hint="eastAsia" w:ascii="仿宋" w:hAnsi="仿宋" w:eastAsia="仿宋"/>
                <w:sz w:val="24"/>
                <w:szCs w:val="24"/>
              </w:rPr>
            </w:pPr>
            <w:r>
              <w:rPr>
                <w:rFonts w:hint="eastAsia" w:ascii="仿宋_GB2312" w:hAnsi="仿宋_GB2312" w:eastAsia="仿宋_GB2312" w:cs="仿宋_GB2312"/>
                <w:sz w:val="30"/>
                <w:szCs w:val="30"/>
                <w:highlight w:val="none"/>
                <w:lang w:eastAsia="zh-CN"/>
              </w:rPr>
              <w:t>其他要求：</w:t>
            </w:r>
            <w:r>
              <w:rPr>
                <w:rFonts w:hint="eastAsia" w:ascii="仿宋_GB2312" w:hAnsi="仿宋_GB2312" w:eastAsia="仿宋_GB2312" w:cs="仿宋_GB2312"/>
                <w:sz w:val="30"/>
                <w:szCs w:val="30"/>
                <w:highlight w:val="none"/>
                <w:lang w:val="en-US" w:eastAsia="zh-CN"/>
              </w:rPr>
              <w:t>无</w:t>
            </w:r>
          </w:p>
        </w:tc>
        <w:tc>
          <w:tcPr>
            <w:tcW w:w="2121" w:type="dxa"/>
            <w:tcMar>
              <w:top w:w="150" w:type="dxa"/>
              <w:left w:w="240" w:type="dxa"/>
              <w:bottom w:w="150" w:type="dxa"/>
              <w:right w:w="0" w:type="dxa"/>
            </w:tcMar>
            <w:vAlign w:val="center"/>
          </w:tcPr>
          <w:p w14:paraId="7548D637">
            <w:pPr>
              <w:rPr>
                <w:rFonts w:hint="eastAsia" w:ascii="仿宋" w:hAnsi="仿宋" w:eastAsia="仿宋"/>
                <w:sz w:val="24"/>
                <w:szCs w:val="24"/>
              </w:rPr>
            </w:pPr>
          </w:p>
        </w:tc>
      </w:tr>
      <w:tr w14:paraId="5BB3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48" w:type="dxa"/>
            <w:tcMar>
              <w:top w:w="150" w:type="dxa"/>
              <w:left w:w="0" w:type="dxa"/>
              <w:bottom w:w="150" w:type="dxa"/>
              <w:right w:w="240" w:type="dxa"/>
            </w:tcMar>
            <w:vAlign w:val="center"/>
          </w:tcPr>
          <w:p w14:paraId="021B869F">
            <w:pPr>
              <w:rPr>
                <w:rFonts w:hint="eastAsia" w:ascii="仿宋" w:hAnsi="仿宋" w:eastAsia="仿宋"/>
                <w:sz w:val="24"/>
                <w:szCs w:val="24"/>
              </w:rPr>
            </w:pPr>
            <w:r>
              <w:rPr>
                <w:rFonts w:ascii="仿宋" w:hAnsi="仿宋" w:eastAsia="仿宋" w:cs="仿宋"/>
                <w:sz w:val="30"/>
                <w:szCs w:val="30"/>
                <w:shd w:val="clear" w:color="auto" w:fill="FFFFFF"/>
              </w:rPr>
              <w:t>▲</w:t>
            </w:r>
            <w:r>
              <w:rPr>
                <w:rFonts w:ascii="仿宋" w:hAnsi="仿宋" w:eastAsia="仿宋"/>
                <w:sz w:val="24"/>
                <w:szCs w:val="24"/>
              </w:rPr>
              <w:t>交付时间</w:t>
            </w:r>
          </w:p>
        </w:tc>
        <w:tc>
          <w:tcPr>
            <w:tcW w:w="4536" w:type="dxa"/>
            <w:tcMar>
              <w:top w:w="150" w:type="dxa"/>
              <w:left w:w="240" w:type="dxa"/>
              <w:bottom w:w="150" w:type="dxa"/>
              <w:right w:w="240" w:type="dxa"/>
            </w:tcMar>
            <w:vAlign w:val="center"/>
          </w:tcPr>
          <w:p w14:paraId="1A268CF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sz w:val="24"/>
                <w:szCs w:val="24"/>
              </w:rPr>
            </w:pPr>
            <w:r>
              <w:rPr>
                <w:rFonts w:hint="eastAsia" w:ascii="仿宋_GB2312" w:hAnsi="仿宋_GB2312" w:eastAsia="仿宋_GB2312" w:cs="仿宋_GB2312"/>
                <w:color w:val="auto"/>
                <w:sz w:val="30"/>
                <w:szCs w:val="30"/>
                <w:lang w:eastAsia="zh-CN"/>
              </w:rPr>
              <w:t>完成时间：按采购需求，每月按时完成消杀工作任务，</w:t>
            </w:r>
            <w:r>
              <w:rPr>
                <w:rFonts w:hint="eastAsia" w:ascii="仿宋_GB2312" w:hAnsi="仿宋_GB2312" w:eastAsia="仿宋_GB2312" w:cs="仿宋_GB2312"/>
                <w:color w:val="auto"/>
                <w:sz w:val="30"/>
                <w:szCs w:val="30"/>
                <w:lang w:val="en-US" w:eastAsia="zh-CN"/>
              </w:rPr>
              <w:t>达到服务效果</w:t>
            </w:r>
            <w:r>
              <w:rPr>
                <w:rFonts w:hint="eastAsia" w:ascii="仿宋_GB2312" w:hAnsi="仿宋_GB2312" w:eastAsia="仿宋_GB2312" w:cs="仿宋_GB2312"/>
                <w:color w:val="auto"/>
                <w:sz w:val="30"/>
                <w:szCs w:val="30"/>
                <w:lang w:eastAsia="zh-CN"/>
              </w:rPr>
              <w:t>。</w:t>
            </w:r>
          </w:p>
        </w:tc>
        <w:tc>
          <w:tcPr>
            <w:tcW w:w="2121" w:type="dxa"/>
            <w:tcMar>
              <w:top w:w="150" w:type="dxa"/>
              <w:left w:w="240" w:type="dxa"/>
              <w:bottom w:w="150" w:type="dxa"/>
              <w:right w:w="0" w:type="dxa"/>
            </w:tcMar>
            <w:vAlign w:val="center"/>
          </w:tcPr>
          <w:p w14:paraId="68C65298">
            <w:pPr>
              <w:rPr>
                <w:rFonts w:hint="eastAsia" w:ascii="仿宋" w:hAnsi="仿宋" w:eastAsia="仿宋"/>
                <w:sz w:val="24"/>
                <w:szCs w:val="24"/>
              </w:rPr>
            </w:pPr>
          </w:p>
        </w:tc>
      </w:tr>
      <w:tr w14:paraId="5126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48" w:type="dxa"/>
            <w:tcMar>
              <w:top w:w="150" w:type="dxa"/>
              <w:left w:w="0" w:type="dxa"/>
              <w:bottom w:w="150" w:type="dxa"/>
              <w:right w:w="240" w:type="dxa"/>
            </w:tcMar>
            <w:vAlign w:val="center"/>
          </w:tcPr>
          <w:p w14:paraId="27A8F44F">
            <w:pPr>
              <w:rPr>
                <w:rFonts w:hint="eastAsia" w:ascii="仿宋" w:hAnsi="仿宋" w:eastAsia="仿宋"/>
                <w:sz w:val="24"/>
                <w:szCs w:val="24"/>
              </w:rPr>
            </w:pPr>
            <w:r>
              <w:rPr>
                <w:rFonts w:ascii="仿宋" w:hAnsi="仿宋" w:eastAsia="仿宋"/>
                <w:sz w:val="24"/>
                <w:szCs w:val="24"/>
              </w:rPr>
              <w:t>交付地点</w:t>
            </w:r>
          </w:p>
        </w:tc>
        <w:tc>
          <w:tcPr>
            <w:tcW w:w="4536" w:type="dxa"/>
            <w:tcMar>
              <w:top w:w="150" w:type="dxa"/>
              <w:left w:w="240" w:type="dxa"/>
              <w:bottom w:w="150" w:type="dxa"/>
              <w:right w:w="240" w:type="dxa"/>
            </w:tcMar>
            <w:vAlign w:val="center"/>
          </w:tcPr>
          <w:p w14:paraId="7BE8752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sz w:val="24"/>
                <w:szCs w:val="24"/>
              </w:rPr>
            </w:pPr>
            <w:r>
              <w:rPr>
                <w:rFonts w:hint="eastAsia" w:ascii="仿宋_GB2312" w:hAnsi="仿宋_GB2312" w:eastAsia="仿宋_GB2312" w:cs="仿宋_GB2312"/>
                <w:color w:val="auto"/>
                <w:sz w:val="30"/>
                <w:szCs w:val="30"/>
                <w:lang w:eastAsia="zh-CN"/>
              </w:rPr>
              <w:t>交货地点：广西南宁市（采购人指定地点）</w:t>
            </w:r>
          </w:p>
        </w:tc>
        <w:tc>
          <w:tcPr>
            <w:tcW w:w="2121" w:type="dxa"/>
            <w:tcMar>
              <w:top w:w="150" w:type="dxa"/>
              <w:left w:w="240" w:type="dxa"/>
              <w:bottom w:w="150" w:type="dxa"/>
              <w:right w:w="0" w:type="dxa"/>
            </w:tcMar>
            <w:vAlign w:val="center"/>
          </w:tcPr>
          <w:p w14:paraId="6B1787BC">
            <w:pPr>
              <w:rPr>
                <w:rFonts w:hint="eastAsia" w:ascii="仿宋" w:hAnsi="仿宋" w:eastAsia="仿宋"/>
                <w:sz w:val="24"/>
                <w:szCs w:val="24"/>
              </w:rPr>
            </w:pPr>
          </w:p>
        </w:tc>
      </w:tr>
      <w:tr w14:paraId="6B29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48" w:type="dxa"/>
            <w:tcMar>
              <w:top w:w="150" w:type="dxa"/>
              <w:left w:w="0" w:type="dxa"/>
              <w:bottom w:w="150" w:type="dxa"/>
              <w:right w:w="240" w:type="dxa"/>
            </w:tcMar>
            <w:vAlign w:val="center"/>
          </w:tcPr>
          <w:p w14:paraId="5F11467C">
            <w:pPr>
              <w:rPr>
                <w:rFonts w:hint="eastAsia" w:ascii="仿宋" w:hAnsi="仿宋" w:eastAsia="仿宋"/>
                <w:sz w:val="24"/>
                <w:szCs w:val="24"/>
              </w:rPr>
            </w:pPr>
            <w:r>
              <w:rPr>
                <w:rFonts w:ascii="仿宋" w:hAnsi="仿宋" w:eastAsia="仿宋"/>
                <w:sz w:val="24"/>
                <w:szCs w:val="24"/>
              </w:rPr>
              <w:t>付款方式</w:t>
            </w:r>
          </w:p>
        </w:tc>
        <w:tc>
          <w:tcPr>
            <w:tcW w:w="4536" w:type="dxa"/>
            <w:tcMar>
              <w:top w:w="150" w:type="dxa"/>
              <w:left w:w="240" w:type="dxa"/>
              <w:bottom w:w="150" w:type="dxa"/>
              <w:right w:w="240" w:type="dxa"/>
            </w:tcMar>
            <w:vAlign w:val="center"/>
          </w:tcPr>
          <w:p w14:paraId="1E2F398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付款方式：按《合同》约定完成工作任务后，每半年支付一次服务费，</w:t>
            </w:r>
            <w:r>
              <w:rPr>
                <w:rFonts w:hint="eastAsia" w:ascii="仿宋_GB2312" w:hAnsi="仿宋_GB2312" w:eastAsia="仿宋_GB2312" w:cs="仿宋_GB2312"/>
                <w:sz w:val="30"/>
                <w:szCs w:val="30"/>
                <w:lang w:val="en-US" w:eastAsia="zh-CN"/>
              </w:rPr>
              <w:t>每次支付合同款的25%</w:t>
            </w:r>
            <w:r>
              <w:rPr>
                <w:rFonts w:hint="eastAsia" w:ascii="仿宋_GB2312" w:hAnsi="仿宋_GB2312" w:eastAsia="仿宋_GB2312" w:cs="仿宋_GB2312"/>
                <w:sz w:val="30"/>
                <w:szCs w:val="30"/>
                <w:lang w:eastAsia="zh-CN"/>
              </w:rPr>
              <w:t>。</w:t>
            </w:r>
          </w:p>
          <w:p w14:paraId="7D2E414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sz w:val="24"/>
                <w:szCs w:val="24"/>
              </w:rPr>
            </w:pPr>
            <w:r>
              <w:rPr>
                <w:rFonts w:hint="eastAsia" w:ascii="仿宋_GB2312" w:hAnsi="仿宋_GB2312" w:eastAsia="仿宋_GB2312" w:cs="仿宋_GB2312"/>
                <w:sz w:val="30"/>
                <w:szCs w:val="30"/>
                <w:lang w:eastAsia="zh-CN"/>
              </w:rPr>
              <w:t>质保期及质保要求：按采购需求。</w:t>
            </w:r>
          </w:p>
        </w:tc>
        <w:tc>
          <w:tcPr>
            <w:tcW w:w="2121" w:type="dxa"/>
            <w:tcMar>
              <w:top w:w="150" w:type="dxa"/>
              <w:left w:w="240" w:type="dxa"/>
              <w:bottom w:w="150" w:type="dxa"/>
              <w:right w:w="0" w:type="dxa"/>
            </w:tcMar>
            <w:vAlign w:val="center"/>
          </w:tcPr>
          <w:p w14:paraId="1C4F8C34">
            <w:pPr>
              <w:rPr>
                <w:rFonts w:hint="eastAsia" w:ascii="仿宋" w:hAnsi="仿宋" w:eastAsia="仿宋"/>
                <w:sz w:val="24"/>
                <w:szCs w:val="24"/>
              </w:rPr>
            </w:pPr>
          </w:p>
        </w:tc>
      </w:tr>
      <w:tr w14:paraId="4091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48" w:type="dxa"/>
            <w:tcMar>
              <w:top w:w="150" w:type="dxa"/>
              <w:left w:w="0" w:type="dxa"/>
              <w:bottom w:w="150" w:type="dxa"/>
              <w:right w:w="240" w:type="dxa"/>
            </w:tcMar>
            <w:vAlign w:val="center"/>
          </w:tcPr>
          <w:p w14:paraId="1315D6CE">
            <w:pPr>
              <w:rPr>
                <w:rFonts w:hint="eastAsia" w:ascii="仿宋" w:hAnsi="仿宋" w:eastAsia="仿宋"/>
                <w:sz w:val="24"/>
                <w:szCs w:val="24"/>
              </w:rPr>
            </w:pPr>
            <w:r>
              <w:rPr>
                <w:rFonts w:ascii="仿宋" w:hAnsi="仿宋" w:eastAsia="仿宋"/>
                <w:sz w:val="24"/>
                <w:szCs w:val="24"/>
              </w:rPr>
              <w:t>其他要求</w:t>
            </w:r>
          </w:p>
        </w:tc>
        <w:tc>
          <w:tcPr>
            <w:tcW w:w="4536" w:type="dxa"/>
            <w:tcMar>
              <w:top w:w="150" w:type="dxa"/>
              <w:left w:w="240" w:type="dxa"/>
              <w:bottom w:w="150" w:type="dxa"/>
              <w:right w:w="240" w:type="dxa"/>
            </w:tcMar>
            <w:vAlign w:val="center"/>
          </w:tcPr>
          <w:p w14:paraId="30E5D353">
            <w:pPr>
              <w:rPr>
                <w:rFonts w:hint="default" w:ascii="仿宋" w:hAnsi="仿宋" w:eastAsia="仿宋"/>
                <w:sz w:val="24"/>
                <w:szCs w:val="24"/>
                <w:lang w:val="en-US" w:eastAsia="zh-CN"/>
              </w:rPr>
            </w:pPr>
            <w:r>
              <w:rPr>
                <w:rFonts w:hint="eastAsia" w:ascii="仿宋" w:hAnsi="仿宋" w:eastAsia="仿宋"/>
                <w:sz w:val="24"/>
                <w:szCs w:val="24"/>
                <w:lang w:val="en-US" w:eastAsia="zh-CN"/>
              </w:rPr>
              <w:t>无</w:t>
            </w:r>
          </w:p>
        </w:tc>
        <w:tc>
          <w:tcPr>
            <w:tcW w:w="2121" w:type="dxa"/>
            <w:tcMar>
              <w:top w:w="150" w:type="dxa"/>
              <w:left w:w="240" w:type="dxa"/>
              <w:bottom w:w="150" w:type="dxa"/>
              <w:right w:w="0" w:type="dxa"/>
            </w:tcMar>
            <w:vAlign w:val="center"/>
          </w:tcPr>
          <w:p w14:paraId="71EE29D6">
            <w:pPr>
              <w:rPr>
                <w:rFonts w:hint="eastAsia" w:ascii="仿宋" w:hAnsi="仿宋" w:eastAsia="仿宋"/>
                <w:sz w:val="24"/>
                <w:szCs w:val="24"/>
              </w:rPr>
            </w:pPr>
          </w:p>
        </w:tc>
      </w:tr>
    </w:tbl>
    <w:p w14:paraId="2587F44A">
      <w:pPr>
        <w:rPr>
          <w:rFonts w:hint="eastAsia" w:ascii="仿宋" w:hAnsi="仿宋" w:eastAsia="仿宋"/>
          <w:sz w:val="24"/>
          <w:szCs w:val="24"/>
        </w:rPr>
      </w:pPr>
      <w:r>
        <w:rPr>
          <w:rFonts w:hint="eastAsia" w:ascii="仿宋" w:hAnsi="仿宋" w:eastAsia="仿宋"/>
          <w:sz w:val="24"/>
          <w:szCs w:val="24"/>
        </w:rPr>
        <w:t>注：①所有价格均用人民币表示，单位为元，精确到小数点后两位；高于预算金额的报价无效；</w:t>
      </w:r>
    </w:p>
    <w:p w14:paraId="02D42813">
      <w:pPr>
        <w:rPr>
          <w:rFonts w:hint="eastAsia" w:ascii="仿宋" w:hAnsi="仿宋" w:eastAsia="仿宋"/>
          <w:sz w:val="24"/>
          <w:szCs w:val="24"/>
        </w:rPr>
      </w:pPr>
      <w:r>
        <w:rPr>
          <w:rFonts w:hint="eastAsia" w:ascii="仿宋" w:hAnsi="仿宋" w:eastAsia="仿宋"/>
          <w:sz w:val="24"/>
          <w:szCs w:val="24"/>
        </w:rPr>
        <w:t>②技术要求必须逐条完全响应。</w:t>
      </w:r>
    </w:p>
    <w:p w14:paraId="22BE69ED">
      <w:pPr>
        <w:rPr>
          <w:rFonts w:hint="eastAsia" w:ascii="仿宋" w:hAnsi="仿宋" w:eastAsia="仿宋"/>
          <w:sz w:val="24"/>
          <w:szCs w:val="24"/>
        </w:rPr>
      </w:pPr>
      <w:r>
        <w:rPr>
          <w:rFonts w:hint="eastAsia" w:ascii="仿宋" w:hAnsi="仿宋" w:eastAsia="仿宋"/>
          <w:sz w:val="24"/>
          <w:szCs w:val="24"/>
        </w:rPr>
        <w:t>③商务要求应逐条完全响应，如有缺项漏项或未列明响应内容的，视为认可采购人要求，报价有效但需按采购人要求执行商务条款。</w:t>
      </w:r>
    </w:p>
    <w:p w14:paraId="2E70C7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FEB88"/>
    <w:multiLevelType w:val="singleLevel"/>
    <w:tmpl w:val="CA4FEB88"/>
    <w:lvl w:ilvl="0" w:tentative="0">
      <w:start w:val="1"/>
      <w:numFmt w:val="decimal"/>
      <w:suff w:val="nothing"/>
      <w:lvlText w:val="%1．"/>
      <w:lvlJc w:val="left"/>
      <w:pPr>
        <w:ind w:left="0" w:firstLine="400"/>
      </w:pPr>
      <w:rPr>
        <w:rFonts w:hint="default"/>
      </w:rPr>
    </w:lvl>
  </w:abstractNum>
  <w:abstractNum w:abstractNumId="1">
    <w:nsid w:val="E4EEDBC7"/>
    <w:multiLevelType w:val="singleLevel"/>
    <w:tmpl w:val="E4EEDBC7"/>
    <w:lvl w:ilvl="0" w:tentative="0">
      <w:start w:val="1"/>
      <w:numFmt w:val="chineseCounting"/>
      <w:suff w:val="nothing"/>
      <w:lvlText w:val="（%1）"/>
      <w:lvlJc w:val="left"/>
      <w:pPr>
        <w:ind w:left="0" w:firstLine="420"/>
      </w:pPr>
      <w:rPr>
        <w:rFonts w:hint="eastAsia"/>
      </w:rPr>
    </w:lvl>
  </w:abstractNum>
  <w:abstractNum w:abstractNumId="2">
    <w:nsid w:val="4B2FE683"/>
    <w:multiLevelType w:val="singleLevel"/>
    <w:tmpl w:val="4B2FE683"/>
    <w:lvl w:ilvl="0" w:tentative="0">
      <w:start w:val="1"/>
      <w:numFmt w:val="decimal"/>
      <w:suff w:val="nothing"/>
      <w:lvlText w:val="%1．"/>
      <w:lvlJc w:val="left"/>
    </w:lvl>
  </w:abstractNum>
  <w:abstractNum w:abstractNumId="3">
    <w:nsid w:val="51A6B404"/>
    <w:multiLevelType w:val="singleLevel"/>
    <w:tmpl w:val="51A6B404"/>
    <w:lvl w:ilvl="0" w:tentative="0">
      <w:start w:val="1"/>
      <w:numFmt w:val="decimal"/>
      <w:suff w:val="nothing"/>
      <w:lvlText w:val="%1．"/>
      <w:lvlJc w:val="left"/>
      <w:pPr>
        <w:ind w:left="0" w:firstLine="400"/>
      </w:pPr>
      <w:rPr>
        <w:rFonts w:hint="default"/>
      </w:rPr>
    </w:lvl>
  </w:abstractNum>
  <w:abstractNum w:abstractNumId="4">
    <w:nsid w:val="775BAFCC"/>
    <w:multiLevelType w:val="singleLevel"/>
    <w:tmpl w:val="775BAFCC"/>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B2AB4"/>
    <w:rsid w:val="606B2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2026-03-25T02:48:00Z</dcterms:created>
  <dc:creator>文军</dc:creator>
  <cp:lastModifiedBy>文军</cp:lastModifiedBy>
  <dcterms:modified xsi:type="dcterms:W3CDTF">2026-03-25T02:50:07Z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0D6B23A9EF814D4A91A9CA14BC11587D_11</vt:lpwstr>
  </property>
  <property fmtid="{D5CDD505-2E9C-101B-9397-08002B2CF9AE}" pid="4" name="KSOTemplateDocerSaveRecord">
    <vt:lpwstr>eyJoZGlkIjoiZGY3NDY0ODlmOWYyYjI3YTFjYmRmOTg5OWUyNTNkYWUiLCJ1c2VySWQiOiIyNDYwODA3NDUifQ==</vt:lpwstr>
  </property>
</Properties>
</file>