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70BE">
      <w:pPr>
        <w:spacing w:line="400" w:lineRule="exact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附件3</w:t>
      </w:r>
    </w:p>
    <w:p w14:paraId="330B2A8F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服务采购需求</w:t>
      </w:r>
    </w:p>
    <w:p w14:paraId="64F455BF">
      <w:pPr>
        <w:spacing w:line="400" w:lineRule="exact"/>
        <w:rPr>
          <w:rFonts w:hint="eastAsia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</w:rPr>
        <w:t>本章中带</w:t>
      </w:r>
      <w:r>
        <w:rPr>
          <w:rFonts w:ascii="Times New Roman" w:hAnsi="Times New Roman" w:eastAsia="宋体" w:cs="Times New Roman"/>
        </w:rPr>
        <w:t>▲</w:t>
      </w:r>
      <w:r>
        <w:rPr>
          <w:rFonts w:ascii="Times New Roman" w:hAnsi="Times New Roman" w:cs="Times New Roman"/>
        </w:rPr>
        <w:t>号条款为实质性内容要求，投标时必须满足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</w:rPr>
        <w:t>非实质性条款负偏离允许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项</w:t>
      </w:r>
      <w:r>
        <w:rPr>
          <w:rFonts w:hint="eastAsia" w:ascii="Times New Roman" w:hAnsi="Times New Roman" w:cs="Times New Roman"/>
          <w:lang w:eastAsia="zh-CN"/>
        </w:rPr>
        <w:t>。</w:t>
      </w:r>
    </w:p>
    <w:tbl>
      <w:tblPr>
        <w:tblStyle w:val="1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83"/>
        <w:gridCol w:w="469"/>
        <w:gridCol w:w="1985"/>
        <w:gridCol w:w="889"/>
        <w:gridCol w:w="4474"/>
      </w:tblGrid>
      <w:tr w14:paraId="7D0C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A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一、物品参数需求</w:t>
            </w:r>
          </w:p>
        </w:tc>
      </w:tr>
      <w:tr w14:paraId="5581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95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0A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采购服务名称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938A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参考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9B33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数量</w:t>
            </w:r>
          </w:p>
          <w:p w14:paraId="63FAD718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单位</w:t>
            </w:r>
          </w:p>
        </w:tc>
        <w:tc>
          <w:tcPr>
            <w:tcW w:w="4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4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项目要求及服务参数需求</w:t>
            </w:r>
          </w:p>
        </w:tc>
      </w:tr>
      <w:tr w14:paraId="573F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5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8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涡旋混匀仪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四亿/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CubicB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其林贝尔/vortex 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碧云天/BeyoVortex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9F0E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1.操作模式：连续/点动操作</w:t>
            </w:r>
          </w:p>
          <w:p w14:paraId="666DB53E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2.振荡方式：圆周</w:t>
            </w:r>
          </w:p>
          <w:p w14:paraId="18F0D8D5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3.▲轨道直径：6毫米</w:t>
            </w:r>
          </w:p>
          <w:p w14:paraId="1C345E0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4.▲速度范围：0-3000转/分</w:t>
            </w:r>
          </w:p>
          <w:p w14:paraId="45A83C5E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5.速度显示：刻度</w:t>
            </w:r>
          </w:p>
          <w:p w14:paraId="2AA7D60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6.无刷电机和坚固的铁/铝铸件底座</w:t>
            </w:r>
          </w:p>
          <w:p w14:paraId="3DFE368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7.低工作电压（12V），全面保护</w:t>
            </w:r>
          </w:p>
          <w:p w14:paraId="50F7E5E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8.完美的动平衡设计，可消除混匀时的晃动</w:t>
            </w:r>
          </w:p>
          <w:p w14:paraId="059F985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9.具有不同可互换配件，满足各种应用</w:t>
            </w:r>
          </w:p>
          <w:p w14:paraId="6ED22E4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10.电源通过 CE、cULus、CCC、SAA 和 FCC 认证</w:t>
            </w:r>
          </w:p>
          <w:p w14:paraId="1615043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11.允许的环境温度：5-40℃</w:t>
            </w:r>
          </w:p>
          <w:p w14:paraId="79EF191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12.允许相对湿度：80%RH：</w:t>
            </w:r>
          </w:p>
          <w:p w14:paraId="367D7D6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13.防护等级符合 DIN EN 60529：IP21</w:t>
            </w:r>
          </w:p>
          <w:p w14:paraId="4899DF6D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14.电压：100-240VAC</w:t>
            </w:r>
          </w:p>
          <w:p w14:paraId="15CA340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15.功率：36w</w:t>
            </w:r>
          </w:p>
          <w:p w14:paraId="60B83FF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16.频率：50/60Hz</w:t>
            </w:r>
          </w:p>
          <w:p w14:paraId="39F50BC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17.尺寸（宽 x 高 x 深）：107x146x166mm</w:t>
            </w:r>
          </w:p>
          <w:p w14:paraId="23299160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18.重量：3kg</w:t>
            </w:r>
          </w:p>
        </w:tc>
      </w:tr>
      <w:tr w14:paraId="5E57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EE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E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掌上离心机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5193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四亿/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ETmini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5B921AC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赛维尔/MC5000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3DA17AC5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碧云天/BeyoFuge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D9714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转子承载量：0.2/0.5/1.5/2.0mL 离心管x 6，0.2mL PCR管 x 16，0.2mL PCR 8联管 x 2</w:t>
            </w:r>
          </w:p>
          <w:p w14:paraId="1C63347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2.▲最高转速[rpm]：5400</w:t>
            </w:r>
          </w:p>
          <w:p w14:paraId="2B98334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 最大相对离心力[xg]：2000</w:t>
            </w:r>
          </w:p>
          <w:p w14:paraId="08B036D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运行模式：连续运行</w:t>
            </w:r>
          </w:p>
          <w:p w14:paraId="7D59A5E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 驱动电机：直流电机</w:t>
            </w:r>
          </w:p>
          <w:p w14:paraId="4612C10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 低噪音运行：≤50分贝</w:t>
            </w:r>
          </w:p>
          <w:p w14:paraId="44CA180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 低工作电压和开门制动系统，安全性高</w:t>
            </w:r>
          </w:p>
          <w:p w14:paraId="1905185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 封闭式设计降低了液体溅入设备的风险</w:t>
            </w:r>
          </w:p>
          <w:p w14:paraId="058F6DA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 ▲优异的动平衡，即使转子两侧不平衡也能保持稳定运行</w:t>
            </w:r>
          </w:p>
          <w:p w14:paraId="510FB1E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10.▲卡入式设计无需工具即可轻松更换转子</w:t>
            </w:r>
          </w:p>
          <w:p w14:paraId="6A62AB1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11. 配备2个转子及适配器</w:t>
            </w:r>
          </w:p>
          <w:p w14:paraId="799D3CC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12. 输入：100-240VAC，50/60HZ</w:t>
            </w:r>
          </w:p>
          <w:p w14:paraId="27A4DC8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13. 输出：24VDC, 2A</w:t>
            </w:r>
          </w:p>
          <w:p w14:paraId="2ABD52D5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14. 尺寸：6.9”x 5.5”</w:t>
            </w:r>
          </w:p>
          <w:p w14:paraId="4FEDAE4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15. 重量：1.85kg</w:t>
            </w:r>
          </w:p>
        </w:tc>
      </w:tr>
      <w:tr w14:paraId="792D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93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1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电动移液器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Eppendorf/Xplorer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赛多利斯/Picus® 2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Rainin/E4 XLS+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55AD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1.功能特点</w:t>
            </w:r>
          </w:p>
          <w:p w14:paraId="29BBBB2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1.1.功能在选项盘上，操作方便，一目了然，功能模式可直接通过选项盘选择</w:t>
            </w:r>
          </w:p>
          <w:p w14:paraId="709B2C8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1.2.彩色液晶屏显示，可用9种语言（含中文）快速而简便地编程</w:t>
            </w:r>
          </w:p>
          <w:p w14:paraId="16D75C7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1.3.创新导杆设计，操作运动方向与活塞运动方向一致，用户可完全掌控活塞的运动</w:t>
            </w:r>
          </w:p>
          <w:p w14:paraId="2AAD01DD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1.4.弹性吸嘴功能，安装和脱卸吸头用力小，移液重复性高</w:t>
            </w:r>
          </w:p>
          <w:p w14:paraId="03EE146F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1.5.下半支可徒手拆卸，维护方便简单，整个下半支可高温高压灭菌</w:t>
            </w:r>
          </w:p>
          <w:p w14:paraId="1A7C520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1.6.具备用户调节功能，可根据实际情况调整移液器，如海拔高度、液体属性等，使移液更精准</w:t>
            </w:r>
          </w:p>
          <w:p w14:paraId="1826842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1.7.人性化设计参数选项，如体积限量等，使移液更安全</w:t>
            </w:r>
          </w:p>
          <w:p w14:paraId="1314080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1.8.人体工程学设计，重量轻（约158g），平衡性好</w:t>
            </w:r>
          </w:p>
          <w:p w14:paraId="18A0417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1.9.锂聚合物电池，充电时间短，工作时间长，一次充电可至少加样100块96孔板；灵活的充电选择，可通过充电器或在充电支架上充电</w:t>
            </w:r>
          </w:p>
          <w:p w14:paraId="5BCE589D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1.10.可与移液管理系统组合使用，进行无线数据交换，从而实现液体管理、移液过程记录、移液群组管理等功能。</w:t>
            </w:r>
          </w:p>
          <w:p w14:paraId="3A5E186E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1.11 规格：5-100µl</w:t>
            </w:r>
          </w:p>
        </w:tc>
      </w:tr>
      <w:tr w14:paraId="6923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C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小型电泳槽(4胶)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1354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道一/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PES-5/40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北京六一/DYCZ-MINI4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北京君意/JY-SCZ4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FE26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▲1.凝胶数：1-4</w:t>
            </w:r>
          </w:p>
          <w:p w14:paraId="43F86AC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2.手灌胶：使用玻璃板灌制</w:t>
            </w:r>
          </w:p>
          <w:p w14:paraId="5C81C0B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3.凝胶尺寸（宽X长）：预制：86mm x 68mm；手灌：83mm x 73mm</w:t>
            </w:r>
          </w:p>
          <w:p w14:paraId="48C0216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4.玻璃板尺寸：短玻板 101mm x 73mm ； 长玻板  101mm x 82mm</w:t>
            </w:r>
          </w:p>
          <w:p w14:paraId="5FAA757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5.2块凝胶的缓冲液总体积：700ml</w:t>
            </w:r>
          </w:p>
          <w:p w14:paraId="6B8BE35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6.4块凝胶的缓冲液总体积：1000ml</w:t>
            </w:r>
          </w:p>
          <w:p w14:paraId="53ED0AE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7.SDS – PAGE经典运行时间 ：35-45分钟（在200V恒定电压下）</w:t>
            </w:r>
          </w:p>
          <w:p w14:paraId="5D55A97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.尺寸（宽 x 长x 高）：125mm x 165mm x 150mm</w:t>
            </w:r>
          </w:p>
          <w:p w14:paraId="69558B9E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9.重量（kg）：1.0kg </w:t>
            </w:r>
          </w:p>
        </w:tc>
      </w:tr>
      <w:tr w14:paraId="2251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78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转印模块(无槽)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2270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道一/TB-5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6F81F5D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北京六一/DYCZ-40C</w:t>
            </w:r>
          </w:p>
          <w:p w14:paraId="4DFB7163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北京君意/JY-ZY5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5B0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1、▲可同时转印2块100nm X 75nm凝胶,也可以进行低强度的隔夜转印;</w:t>
            </w:r>
          </w:p>
          <w:p w14:paraId="3ECB8CAF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2、近相距的电极以产生强电场保证高效的蛋白转印;</w:t>
            </w:r>
          </w:p>
          <w:p w14:paraId="2D733C9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3、清晰的标志,确保转印过程中凝胶的正确定向;</w:t>
            </w:r>
          </w:p>
          <w:p w14:paraId="08F15D8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4、蓝色冰盒可完全置于转印槽内,在快速转印过程中吸收热量;</w:t>
            </w:r>
          </w:p>
          <w:p w14:paraId="78EBC5E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5、缓冲液要求:1000ml;</w:t>
            </w:r>
          </w:p>
        </w:tc>
      </w:tr>
      <w:tr w14:paraId="36C3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88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移液枪（0.1-2.5 ul）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32C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 /Research plus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BRAND /Transferpette® S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Sartorius /Tacta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725E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1.技术参数</w:t>
            </w:r>
          </w:p>
          <w:p w14:paraId="3EF714E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1.1采用Perfect Piston™系统的高科技材质，重量轻（仅约80g），操作力小，坚固耐用，耐高温抗腐蚀</w:t>
            </w:r>
          </w:p>
          <w:p w14:paraId="473BF5F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1.2可整支高温高压灭菌和紫外线灭菌，操作更安全</w:t>
            </w:r>
          </w:p>
          <w:p w14:paraId="591B5E6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1.3人体工程学设计，显著减少手、手臂和肩膀用力，避免手部重复性劳损（RSI）</w:t>
            </w:r>
          </w:p>
          <w:p w14:paraId="0D9C2BC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1.4下半支可徒手拆卸，便于清洁保养</w:t>
            </w:r>
          </w:p>
          <w:p w14:paraId="0C6BE0C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1.5伸缩式弹性吸嘴设计，确保吸头装配的气密性和移液均一性</w:t>
            </w:r>
          </w:p>
          <w:p w14:paraId="06E511A4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1.6四位数字放大体积显示，可精准设置移液体积</w:t>
            </w:r>
          </w:p>
          <w:p w14:paraId="453704A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1.7体积视窗位置合理（在前面），便于移液观察，可单手设定体积及操作</w:t>
            </w:r>
          </w:p>
          <w:p w14:paraId="4129F4D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1.8独有密度调节窗口，适用于不同密度的液体 ，通用性更广泛  </w:t>
            </w:r>
          </w:p>
          <w:p w14:paraId="3035CD5F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1.9 0.1μL－10mL 10种不同量程选择，全面满足不同使用需求</w:t>
            </w:r>
          </w:p>
          <w:p w14:paraId="080BCE1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1.10颜色标识移液器量程</w:t>
            </w:r>
          </w:p>
          <w:p w14:paraId="45438AE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1.11 RFID 数据芯片读取功能，可读取数据进行追踪</w:t>
            </w:r>
          </w:p>
          <w:p w14:paraId="3324D879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1.12 规格 0.1-2.5 ul</w:t>
            </w:r>
          </w:p>
        </w:tc>
      </w:tr>
      <w:tr w14:paraId="5FAF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D4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3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移液枪（10-100 ul）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 /Research plus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41A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BRAND /Transferpette® S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</w:p>
          <w:p w14:paraId="5D2D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Sartorius /Tacta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32FA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1.技术参数</w:t>
            </w:r>
          </w:p>
          <w:p w14:paraId="2D21BB6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1.1采用Perfect Piston™系统的高科技材质，重量轻（仅约80g），操作力小，坚固耐用，耐高温抗腐蚀</w:t>
            </w:r>
          </w:p>
          <w:p w14:paraId="6CDDA01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1.2可整支高温高压灭菌和紫外线灭菌，操作更安全</w:t>
            </w:r>
          </w:p>
          <w:p w14:paraId="39DD193F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1.3人体工程学设计，显著减少手、手臂和肩膀用力，避免手部重复性劳损（RSI）</w:t>
            </w:r>
          </w:p>
          <w:p w14:paraId="6B92EAE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1.4下半支可徒手拆卸，便于清洁保养</w:t>
            </w:r>
          </w:p>
          <w:p w14:paraId="7F12C025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1.5伸缩式弹性吸嘴设计，确保吸头装配的气密性和移液均一性</w:t>
            </w:r>
          </w:p>
          <w:p w14:paraId="44A5175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1.6四位数字放大体积显示，可精准设置移液体积</w:t>
            </w:r>
          </w:p>
          <w:p w14:paraId="31FC64BF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1.7体积视窗位置合理（在前面），便于移液观察，可单手设定体积及操作</w:t>
            </w:r>
          </w:p>
          <w:p w14:paraId="5F77C17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1.8独有密度调节窗口，适用于不同密度的液体 ，通用性更广泛  </w:t>
            </w:r>
          </w:p>
          <w:p w14:paraId="09EED3B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1.9 0.1μL－10mL 10种不同量程选择，全面满足不同使用需求</w:t>
            </w:r>
          </w:p>
          <w:p w14:paraId="1EB02BFE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1.10颜色标识移液器量程</w:t>
            </w:r>
          </w:p>
          <w:p w14:paraId="147BEE5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1.11 RFID 数据芯片读取功能，可读取数据进行追踪</w:t>
            </w:r>
          </w:p>
          <w:p w14:paraId="706FD7EA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1.12 规格 10-100 ul</w:t>
            </w:r>
          </w:p>
        </w:tc>
      </w:tr>
      <w:tr w14:paraId="188B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DA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移液枪（0.5-10 ul）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 /Research plus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18CD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BRAND /Transferpette® S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</w:p>
          <w:p w14:paraId="64EF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Sartorius /Tacta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CBDE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1.技术参数</w:t>
            </w:r>
          </w:p>
          <w:p w14:paraId="0F95FA8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1.1采用Perfect Piston™系统的高科技材质，重量轻（仅约80g），操作力小，坚固耐用，耐高温抗腐蚀</w:t>
            </w:r>
          </w:p>
          <w:p w14:paraId="51D73885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1.2可整支高温高压灭菌和紫外线灭菌，操作更安全</w:t>
            </w:r>
          </w:p>
          <w:p w14:paraId="19066CC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1.3人体工程学设计，显著减少手、手臂和肩膀用力，避免手部重复性劳损（RSI）</w:t>
            </w:r>
          </w:p>
          <w:p w14:paraId="09C97F04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1.4下半支可徒手拆卸，便于清洁保养</w:t>
            </w:r>
          </w:p>
          <w:p w14:paraId="2280891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1.5伸缩式弹性吸嘴设计，确保吸头装配的气密性和移液均一性</w:t>
            </w:r>
          </w:p>
          <w:p w14:paraId="3A91C51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1.6四位数字放大体积显示，可精准设置移液体积</w:t>
            </w:r>
          </w:p>
          <w:p w14:paraId="3252EC8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1.7体积视窗位置合理（在前面），便于移液观察，可单手设定体积及操作</w:t>
            </w:r>
          </w:p>
          <w:p w14:paraId="2805ABD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1.8独有密度调节窗口，适用于不同密度的液体 ，通用性更广泛  </w:t>
            </w:r>
          </w:p>
          <w:p w14:paraId="402BB9A8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1.9 0.1μL－10mL 10种不同量程选择，全面满足不同使用需求</w:t>
            </w:r>
          </w:p>
          <w:p w14:paraId="6F35DD38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1.10颜色标识移液器量程</w:t>
            </w:r>
          </w:p>
          <w:p w14:paraId="2DA0AEF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1.11 RFID 数据芯片读取功能，可读取数据进行追踪</w:t>
            </w:r>
          </w:p>
          <w:p w14:paraId="33A10740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1.12 规格 0.5-10 ul</w:t>
            </w:r>
          </w:p>
        </w:tc>
      </w:tr>
      <w:tr w14:paraId="667B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39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移液枪（100-1000 ul）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 /Research plus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CBC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BRAND /Transferpette® S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</w:p>
          <w:p w14:paraId="15CB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Sartorius /Tacta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739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1.技术参数</w:t>
            </w:r>
          </w:p>
          <w:p w14:paraId="11BA9DB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1.1采用Perfect Piston™系统的高科技材质，重量轻（仅约80g），操作力小，坚固耐用，耐高温抗腐蚀</w:t>
            </w:r>
          </w:p>
          <w:p w14:paraId="5CBAC48A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1.2可整支高温高压灭菌和紫外线灭菌，操作更安全</w:t>
            </w:r>
          </w:p>
          <w:p w14:paraId="3E3F3968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1.3人体工程学设计，显著减少手、手臂和肩膀用力，避免手部重复性劳损（RSI）</w:t>
            </w:r>
          </w:p>
          <w:p w14:paraId="1A88F658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1.4下半支可徒手拆卸，便于清洁保养</w:t>
            </w:r>
          </w:p>
          <w:p w14:paraId="662B9D4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1.5伸缩式弹性吸嘴设计，确保吸头装配的气密性和移液均一性</w:t>
            </w:r>
          </w:p>
          <w:p w14:paraId="162020B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1.6四位数字放大体积显示，可精准设置移液体积</w:t>
            </w:r>
          </w:p>
          <w:p w14:paraId="3FAC5A44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1.7体积视窗位置合理（在前面），便于移液观察，可单手设定体积及操作</w:t>
            </w:r>
          </w:p>
          <w:p w14:paraId="198D9DE6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1.8独有密度调节窗口，适用于不同密度的液体 ，通用性更广泛  </w:t>
            </w:r>
          </w:p>
          <w:p w14:paraId="18C2745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1.9 0.1μL－10mL 10种不同量程选择，全面满足不同使用需求</w:t>
            </w:r>
          </w:p>
          <w:p w14:paraId="5C2063E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1.10颜色标识移液器量程</w:t>
            </w:r>
          </w:p>
          <w:p w14:paraId="3762334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1.11 RFID 数据芯片读取功能，可读取数据进行追踪</w:t>
            </w:r>
          </w:p>
          <w:p w14:paraId="7A8662A3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1.12 规格 100-1000 ul</w:t>
            </w:r>
          </w:p>
        </w:tc>
      </w:tr>
      <w:tr w14:paraId="5212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C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滚筒洗衣机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4C9D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小天鹅/TD10V628T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73DBBC3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美的MG12L5PROMAX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09726315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松下XQG100-F1RD3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F190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1、脱水转速：1200转/分钟；2、洗涤容量：10-20kg;3、抗菌类型：银离子除菌；4、能效等级：一级能效</w:t>
            </w:r>
          </w:p>
        </w:tc>
      </w:tr>
      <w:tr w14:paraId="1D1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6C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A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冷藏冷冻保存箱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4F0C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美菱/YCD-EL300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242788B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海尔HYCD-469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美的HYCD-469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B2B59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1、规格：立式，有效容积≥300升，其中冷藏室占总有效容积的60%以上。</w:t>
            </w:r>
          </w:p>
          <w:p w14:paraId="2AA19E5B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2、▲功率：额定功率≤260W。</w:t>
            </w:r>
          </w:p>
          <w:p w14:paraId="0FBAA671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3、精确控温：微电脑控制，冷藏温度范围2～8℃，冷冻温度-10～-26℃可设定。</w:t>
            </w:r>
          </w:p>
          <w:p w14:paraId="3175AA1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4、▲保温材料：无CFC聚氨酯发泡，加厚保温层，保温效果好，冷藏发泡门体厚度达≥80mm；冷冻门体厚度达≥90mm，冷冻箱体发泡层厚度达到≥100mm。</w:t>
            </w:r>
          </w:p>
          <w:p w14:paraId="04807913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5、▲制冷系统：采用名牌压缩机及风机，双压缩机双系统，冷藏和冷冻室可独立控制运行，节能环保，制冷效果佳；冷藏室风冷，冷冻室直冷。</w:t>
            </w:r>
          </w:p>
          <w:p w14:paraId="5A9B95CD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6、温度显示：高清晰LCD数字温度显示，运行状态一目了然，可根据需求设定高低温报警温度点。冷藏温度和冷冻温度同时显示，冷藏室、冷冻室可分别单独关闭。</w:t>
            </w:r>
          </w:p>
          <w:p w14:paraId="381C1E9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7、▲保护功能：具有开机延时、停机间隔、断电保护等保护功能，确保运行可靠。</w:t>
            </w:r>
          </w:p>
          <w:p w14:paraId="6667F27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8、▲箱体配置：冷藏室内≥3层钢丝搁架，间距可调节，满足不同物品置放，易于清擦；冷冻室配置≥3个ABS抽屉，方便物品分类存放。</w:t>
            </w:r>
          </w:p>
          <w:p w14:paraId="0D1B06CE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9、安全防护：门体带暗锁设计，可加配锁扣增加外挂锁。</w:t>
            </w:r>
          </w:p>
          <w:p w14:paraId="139FDACD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10、报警功能：具有高低温报警、传感故障报警等多种报警功能。</w:t>
            </w:r>
          </w:p>
          <w:p w14:paraId="64243F90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11、▲测试孔：冷藏室冷冻室各标配≥1个测试孔，方便用户测试使用。</w:t>
            </w:r>
          </w:p>
          <w:p w14:paraId="193DC1E5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12、服务保障：省内有维修网点，维修响应时间为2小时内，市区24小时抵达到单位排除故障。</w:t>
            </w:r>
          </w:p>
          <w:p w14:paraId="2DA420DE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13、制造商资质：制造商需通过ISO9001、ISO13485、ISO14001、ISO45001、ISO27001、ISO20000等资质认证。</w:t>
            </w:r>
          </w:p>
          <w:p w14:paraId="38823085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14、保修期：提供由制造商出具的一年无忧换，五年免费质保服务承诺函。</w:t>
            </w:r>
          </w:p>
        </w:tc>
      </w:tr>
      <w:tr w14:paraId="76FF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E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9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微量冷冻离心机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71CB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瑞沃德M1324R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54A4BD50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湖南可成GTR116C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美菱CT-G185R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7EEBE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1、最高转速不低于15,800rpm；最大离心力不低于23,444× g；最大容量：10x 5 mL </w:t>
            </w:r>
          </w:p>
          <w:p w14:paraId="681404A8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2、不少于10档加速度升降设置，满足不同样本的梯度离心需求</w:t>
            </w:r>
          </w:p>
          <w:p w14:paraId="37EB3275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3、单独的瞬时离心按键，按住即可根据所需转速离心，可连续离心</w:t>
            </w:r>
          </w:p>
          <w:p w14:paraId="049B6F17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4、独特双散热系统，保证最高转速下的样本稳定离心</w:t>
            </w:r>
          </w:p>
          <w:p w14:paraId="6FF98002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5、离心盖锁技术，轻松锁盖；离心结束后可自动开盖。</w:t>
            </w:r>
          </w:p>
          <w:p w14:paraId="48376B9F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6、具有定速计时功能，可在达到预设转速时才开始计时，确保离心可重复性</w:t>
            </w:r>
          </w:p>
          <w:p w14:paraId="721DA818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7、转子材料采用航空级别的铝合金，持久耐用，安全系数高</w:t>
            </w:r>
          </w:p>
          <w:p w14:paraId="45A9F9BC">
            <w:pPr>
              <w:adjustRightInd w:val="0"/>
              <w:snapToGrid w:val="0"/>
              <w:spacing w:line="360" w:lineRule="exact"/>
              <w:ind w:left="10" w:hanging="10" w:hangingChars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8、所有转子均可高温高压灭菌(121°C条件下≤20分钟)</w:t>
            </w:r>
          </w:p>
          <w:p w14:paraId="3BF8E507">
            <w:pPr>
              <w:adjustRightInd w:val="0"/>
              <w:snapToGrid w:val="0"/>
              <w:spacing w:line="360" w:lineRule="exact"/>
              <w:ind w:left="10" w:leftChars="0" w:hanging="10" w:hangingChars="5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9、触摸操作与按键相结合，简化操作</w:t>
            </w:r>
          </w:p>
        </w:tc>
      </w:tr>
      <w:tr w14:paraId="4B87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单通道电子移液器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17E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BRAND/Transferpette® electronic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04A23CD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Sartorius / Picus® 2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</w:p>
          <w:p w14:paraId="6913097A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Hirschmann/Labopette®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1.TUV人体工程学认证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2.独立可调节指托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3.操作简单，只需4个按钮即可完成所有操作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五项实用操作程序: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Pipetting (移液模式)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Reverse pipetting (反相移液模式)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Mixing (混合模式)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GEL-Electrophoresis (胶电泳模式)：1000 μl （不含）以下型号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Dispensing (连续分液模式)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5.下半支无需额外拆卸可 121 °C 高压湿热灭菌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6.一次充电可用于4000次移液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7.电池再生功能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Easy Calibration 易校准技术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9.规格2- 20 µl</w:t>
            </w:r>
          </w:p>
        </w:tc>
      </w:tr>
      <w:tr w14:paraId="4E92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E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多通道电子移液器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4C67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BRAND/Transferpette®-8 electronic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Sartorius / Picus® 2 8道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</w:p>
          <w:p w14:paraId="2A906843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Hirschmann/Labopette®electronic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C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1.TUV人体工程学认证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2.独立可调节指托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3.操作简单，只需4个按钮即可完成所有操作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五项实用操作程序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Pipetting (移液模式)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Reverse pipetting (反相移液模式)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Mixing (混合模式)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GEL-Electrophoresis (胶电泳模式)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– Dispensing (连续分液模式)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5.下半支可 360° 自由旋转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6.下半支无需额外拆卸可 121 °C 高压湿热灭菌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7.独立的吸头锥和密封圈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8.阶梯式吸头脱卸装置显著减少去除吸头的耗力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9.一次充电可用于4000次移液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10.电池再生功能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Easy Calibration 易校准技术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12.规格50 - 1250 µl</w:t>
            </w:r>
          </w:p>
        </w:tc>
      </w:tr>
      <w:tr w14:paraId="3C22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8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四亿/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ETmini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2D09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赛维尔/MC5000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483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碧云天/BeyoFuge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9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                                                                                                               1. 转子承载量：0.2/0.5/1.5/2.0mL 离心管x 6，0.2mL PCR管 x 16，0.2mL PCR 8联管 x 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▲最高转速[rpm]：5400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最大相对离心力[xg]：2000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运行模式：连续运行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驱动电机：直流电机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低噪音运行：≤50分贝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低工作电压和开门制动系统，安全性高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封闭式设计降低了液体溅入设备的风险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▲优异的动平衡，即使转子两侧不平衡也能保持稳定运行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▲卡入式设计无需工具即可轻松更换转子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配备2个转子及适配器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输入：100-240VAC，50/60HZ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输出：24VDC, 2A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 尺寸：6.9”x 5.5”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 重量：1.85kg</w:t>
            </w:r>
          </w:p>
        </w:tc>
      </w:tr>
      <w:tr w14:paraId="6701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A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涡旋混匀器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039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四亿CubicD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148A305B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广东安胜/V8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1296687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苏州捷美/MixPlus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F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                                                                                                               1.操作模式：连续/点动操作/定时操作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2.振荡方式：圆周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3.▲轨道直径：6毫米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4.▲速度范围：400-3000转/分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5.▲速度显示：LED液晶显示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6.无刷电机和坚固的铁/铝铸件底座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7.低工作电压（12V），全面保护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8.完美的动平衡设计，可消除混音时的任何晃动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9.具有不同可互换附件的各种应用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10.电源通过 CE、cULus、CCC、SAA 和 FCC 认证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11.允许的环境温度：5-40℃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12.允许相对湿度：80%RH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13.防护等级符合 DIN EN 60529：IP21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14.电压 ：100-240VAC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15.功率 ：36W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16.频率 ：50/60Hz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17.尺寸（宽 x 高 x 深）：107x146x166mm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18.重量 ：3kg</w:t>
            </w:r>
          </w:p>
        </w:tc>
      </w:tr>
      <w:tr w14:paraId="37C7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60L柱式光生物反应器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温州光语/GY-23ZZ-60L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092B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辽宁科恩/KE60LZS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332F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藻金/</w:t>
            </w:r>
          </w:p>
          <w:p w14:paraId="0D0B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ZJZS60L-01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1.有机玻璃材质，容量60L，外尺寸为直径300mm，高度1米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2.采用塑料材质电箱，尺寸为380m*280m*130m，内部安装控制电路，电性能:AC220V，可24小时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运行，使用环境:建议室内使用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3.外置三面LED光源，亮度可调，可定时控制开和关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4.外置射流管+进气口，用于液体搅拌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5.数显温控加热系统配加热棒，保持恒温，供电电压AC220V，功率200W</w:t>
            </w:r>
          </w:p>
        </w:tc>
      </w:tr>
      <w:tr w14:paraId="2D3F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5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真空控制器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爱科/ VC4000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2A10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莱宝/ center one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4672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大龙/VC100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1C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额定电压：交流220V，50Hz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额定功率：100W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控制范围：0~1000mbar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控制精度：0~30mbar可调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控制真空泵：具备控制真空泵开启和关闭功能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运行方式：定值运行和程序运行（最大5段时定时运行模式）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工作温度：室温~45℃</w:t>
            </w:r>
          </w:p>
        </w:tc>
      </w:tr>
      <w:tr w14:paraId="151C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4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FEEA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容声/BCD-526WD1MPA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55564F7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海尔/BCD-509WGHFD19X8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F884D82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美的/BCD-553WKGPM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C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显示类型：LED显示；散热方式：两侧散热；制冷循环：双循环；能效等级：一级能效</w:t>
            </w:r>
          </w:p>
        </w:tc>
      </w:tr>
      <w:tr w14:paraId="26CB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D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真空隔膜泵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932B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上海一恒/VB-40F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30DD5A5F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力辰/LC-85DL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5ABBA50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北京大龙/C410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5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最大流量： 35 L/min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泵头类型： 双级泵(PTFE材质泵头)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极限真空度： 15~20mbar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最大操作压力： 1bar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真空度调节： 显示实时真空度，可调节真空度</w:t>
            </w:r>
          </w:p>
        </w:tc>
      </w:tr>
      <w:tr w14:paraId="3200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9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大流量隔膜式气泵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5E80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广东海利/HAP200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5278E683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森森/CAP120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19599CB9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楚定/XYA-2000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D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电压220-240V；功率160W；排气量:200L/min；尺寸:36x19x23cm</w:t>
            </w:r>
          </w:p>
        </w:tc>
      </w:tr>
      <w:tr w14:paraId="6D6F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2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万分之一分析天平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626A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普利赛斯/LS320A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368BEDF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赛多利斯/BCE323i-1x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1C29980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梅特勒/MS303TS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一、技术指标：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1)▲最大称量值：320（g）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2)读数精度：0.1（mg）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3)重复性典型值： 0.08 (mg)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4)线性典型值: 0.08 (mg)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5)响应时间：≤3s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6)秤盘尺寸：∮90mm高防腐蚀性不锈钢材料，秤盘表面光滑便于清洗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7)外形尺寸：(WxLxH) 228x381x345 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8)风罩尺寸：214x185x 258mm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9)▲灵敏度时间漂移：（10—30℃）1.5ppm/℃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10)工作温度范围：5-40℃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11)工作电压：100~240V AC50~60HZ ±10%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 仪器特点：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1)采用简单易用5键多功能控制面板，天平主机全部采用高强度铝合金材料使用寿命更长。抗静电能力更优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2)标配RS232，USB串口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3)▲外部校准功能，ICM系统具有自动侦别不同砝码重量功能，用户校准时更方便更智能（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提供视频证明资料）。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4)▲可选无线蓝牙键盘数据传输，电脑和手机接收数据，无需额外安装软件，无需单独供电。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5)▲仪器可实现自动10次重复性误差测试，计算出标准偏差显示在屏幕上（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提供证明资料）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6)▲天平生产中采用温度补偿及Robot机器人测试等核心工艺，确保精度和性能稳定（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需提供质监院对生产厂家温补相关校准证书）；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7)▲可实现多台天平智能管理功能（＞50台）：选购数据采集软件可实现多台天平同时无线传输数据及独立传输，数据实时变化曲线图，用户可自定义数据采集时间如1S,2S…1min.... 支持485modbus-rtu协议，可采集实验室温度及压力传感器数据，实现实验室所有天平联网智能管理；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8)采用高精度电磁力模块传感器，维护成本极低（天平使用若干年后更换传感器部件，可再延长使用寿命5--8年）使用寿命更久！大大降低了客户的后期使用成本。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9)标配齐全的应用程序，下挂称重、百分比称量、动物称重、密度称量、计数、等多种应用程序；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10)内置实时时钟功能符合GMP,GLP要求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11)内建密度直读程序，配合密度配件（选配）可准确测量密度并自动运算结果；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12)IS09001质量管理体系，IS014001 环境管理体系认证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三、配置清单：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 数量 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1）主机 1 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2）防风罩 1 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3）挡风圈   1 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4）秤盘 1 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5）电源适配器 1 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6) 合格证 1 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7）使用说明书 1 份</w:t>
            </w:r>
          </w:p>
        </w:tc>
      </w:tr>
      <w:tr w14:paraId="39CB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8道移液器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 /Research plus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4503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BRAND /Transferpette® S-8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</w:p>
          <w:p w14:paraId="7711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赛多利斯/mLINE 8 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1.技术参数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1.1采用Perfect Piston™系统的高科技材质，重量轻（仅约80g），操作力小，坚固耐用，耐高温抗腐蚀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1.2可整支高温高压灭菌和紫外线灭菌，操作更安全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1.3人体工程学设计，显著减少手、手臂和肩膀用力，避免手部重复性劳损（RSI）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1.4下半支可徒手拆卸，便于清洁保养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1.5伸缩式弹性吸嘴设计，确保吸头装配的气密性和移液均一性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1.6四位数字放大体积显示，可精准设置移液体积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1.7体积视窗位置合理（在前面），便于移液观察，可单手设定体积及操作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1.8独有密度调节窗口，适用于不同密度的液体 ，通用性更广泛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 0.1μL－10mL 10种不同量程选择，全面满足不同使用需求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1.10颜色标识移液器量程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 RFID 数据芯片读取功能，可读取数据进行追踪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 多道移液器具备可拆卸的单独通道设计，确保移液精准性，节省维修成本                                                          1.13 规格10-100ul</w:t>
            </w:r>
          </w:p>
        </w:tc>
      </w:tr>
      <w:tr w14:paraId="6963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电动单道移液器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Eppendorf/Xplorer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33F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赛多利斯/Picus® 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44BA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Rainin/E4 XLS+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0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1.技术参数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1.1.功能在选项盘上，操作方便，一目了然，功能模式可直接通过选项盘选择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1.2.彩色液晶屏显示，可用9种语言（含中文）快速而简便地编程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1.3.创新导杆设计，操作运动方向与活塞运动方向一致，用户可完全掌控活塞的运动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1.4.弹性吸嘴功能，安装和脱卸吸头用力小，移液重复性高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1.5.下半支可徒手拆卸，维护方便简单，整个下半支可高温高压灭菌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1.6.具备用户调节功能，可根据实际情况调整移液器，如海拔高度、液体属性等，使移液更精准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1.7.人性化设计参数选项，如体积限量等，使移液更安全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1.8.人体工程学设计，重量轻（约158g），平衡性好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1.9.锂聚合物电池，充电时间短，工作时间长，一次充电可至少加样100块96孔板；灵活的充电选择，可通过充电器或在充电支架上充电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1.10.可与移液管理系统组合使用，进行无线数据交换，从而实现液体管理、移液过程记录、移液群组管理等功能。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 规格：5-100µl</w:t>
            </w:r>
          </w:p>
        </w:tc>
      </w:tr>
      <w:tr w14:paraId="0FD4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真空吸液泵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D6D1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安迪真空/VFi-100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普兰德/BVC control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3837EA5D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梅特勒/QuickFlow 4L UNV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收集瓶:4升塑料瓶；2、真空控制：300-800mbar；3、重量：3.75kg；▲4、自带可调节无极变速真空控制系统，自动启停；▲5、内置双泵头可变速隔膜泵作为真空源，真空度更高，静音效果更好；6、流量控制：10-20L/min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</w:t>
            </w:r>
          </w:p>
        </w:tc>
      </w:tr>
      <w:tr w14:paraId="102E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6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红外压片机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7C2C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天津天光/HYC-12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20146784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天津诺雷信达/HY-15A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3607ED24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山东天研/TY-SP-15TH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F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压力范围 0-12T(0-30MPa)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活塞直径 镀铬油缸中 70mm(d)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压力表 双刻度压力表显示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最大活塞行程 30mm(T)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压力稳定性 ≤1MPa/10min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工作台直径 中 80mm (D)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立柱数量 2 根立柱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立柱间距 96X130mm(MXN)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外形尺寸 225X200X405mm(LXWXH)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设备重量 28Kg </w:t>
            </w:r>
          </w:p>
        </w:tc>
      </w:tr>
      <w:tr w14:paraId="27D1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自动部分收集器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57FC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上海金鹏/BSZ-100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5B9E91A2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青浦沪西/BSZ-100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琪特/BSZ-100N-LCD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6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收集试管：100支；容量：12ml；定量收集范围：1秒-199小时59分59秒，任意选择；显示方式：数码管；试管盘架：圆形数字标记试管盘；断电数据保存：十年。</w:t>
            </w:r>
          </w:p>
        </w:tc>
      </w:tr>
      <w:tr w14:paraId="5665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D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数显水浴锅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1B5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力辰// LC-HH-1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45A6F3D9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四亿WB101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04EC13CC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上海叶拓/DK-B420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E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电源电压 AC220V 50HZ；功率350；孔数1；显示方式:LED数码管；产品尺寸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（L×W×H）mm：200×200×200</w:t>
            </w:r>
          </w:p>
        </w:tc>
      </w:tr>
      <w:tr w14:paraId="2A5C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C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垂直电泳槽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32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道一/PES-5/40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5DDD40F9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北京六一/DYCZ-MINI4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B3CE0C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北京君意/JY-SCZ4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D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技术参数：▲1.凝胶数：1-4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2.手灌胶：使用玻璃板灌制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3.凝胶尺寸（宽X长）：预制：86mm x 68mm；手灌：83mm x 73mm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4.玻璃板尺寸：短玻板 101mm x 73mm ； 长玻板  101mm x 82mm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5.2块凝胶的缓冲液总体积：700ml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6.4块凝胶的缓冲液总体积：1000ml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7.SDS – PAGE经典运行时间 ：35-45分钟（在200V恒定电压下）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8.尺寸（宽 x 长x 高）：125mm x 165mm x 150mm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9.重量（kg）：1.0kg </w:t>
            </w:r>
          </w:p>
        </w:tc>
      </w:tr>
      <w:tr w14:paraId="6D74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E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小型电泳槽(4胶)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DD6A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道一/Basic400+PES-5/40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4864ECF5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北京六一/DYY6D+DYCZ-MINI4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BDBDA48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北京君意/JY300C+JY-SCZ4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1.1、▲电源独立的双通道设计，相当于两个独立的基础电源，两边输出端口可同时独立输出300V，600mA，120W；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1.2、▲可编程的输出范围：10-300V，完全可调，增量为1V；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10-600mA，完全可调，增量为1mA；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1-120W，完全可调，增量为1W；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1.3、可自动切换的恒定电压、恒定电流或恒定功率；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1.4、A、B两端独立的双电源输出口；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1.5、两个输出口的时间可通过触摸屏单独设定，设定范围1分钟-99小时59分钟，完全可调；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1.6、具有暂停和恢复功能；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1.7、▲可编辑和储存5个设定程序，每个程序包设3个步骤；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1.8、▲具有实时时钟功能，具备顺数/倒数时间切换功能；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1.9、▲通过3.5英寸的触摸屏控制；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1.10、安全特性:无负荷检测，负荷突变检测，接地泄漏检测，超负荷/短路保护，过电压检测，输入电路保护，停电后自动打开电源    2.1、▲凝胶数：1-4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2.2、手灌胶：使用玻璃板灌制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2.3、凝胶尺寸（宽X长）：预制：86mm x 68mm；手灌：83mm x 73mm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2.4、玻璃板尺寸：短玻板 101mm x 73mm ； 长玻板  101mm x 82mm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2.5、 2块凝胶的缓冲液总体积：700ml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2.6、 4块凝胶的缓冲液总体积：1000ml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2.7、 SDS – PAGE经典运行时间 ：35-45分钟（在200V恒定电压下）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2.8、尺寸（宽 x 长x 高）：125mm x 165mm x 150mm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2.9、重量（kg）：1.0kg </w:t>
            </w:r>
          </w:p>
        </w:tc>
      </w:tr>
      <w:tr w14:paraId="71B1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4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小型转印槽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91B8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道一/Basic200+TB-5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7B212F06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北京六一/DYY6C+DYCZ-40C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05FAD76E">
            <w:pPr>
              <w:pStyle w:val="3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北京君意/JY300+JY-ZY5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F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1.1、四个并联输出接口，300V，600mA，120W；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1.2、▲可编程的输出范围：10-300V，完全可调，增量为1V；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10-600mA，完全可调，增量为1mA；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1-120W，完全可调，增量为1W；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1.3、可自动切换的恒定电压、恒定电流或恒定功率；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1.4、时间可通过触摸屏单独设定，设定范围1分钟-99小时59分钟完全可调；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1.5、具有暂停和恢复功能；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1.6、▲可编辑和储存5个设定程序，每个程序包设3个步骤；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1.7、▲具有实时时钟功能，具备顺数/倒数时间切换功能；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1.8、▲通过3.5英寸的触摸屏控制；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1.9、安全特性:无负荷检测，负荷突变检测，接地泄漏检测，超负荷/短路保护，过电压检测，输入电路保护，停电后自动打开电源      2.1、▲可同时转印2块100nm X 75nm凝胶,也可以进行低强度的隔夜转印;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2.2、近相距的电极以产生强电场保证高效的蛋白转印;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2.3、清晰的标志,确保转印过程中凝胶的正确定向;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2.4、蓝色冰盒可完全置于转印槽内,在快速转印过程中吸收热量;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2.5、缓冲液要求:1000ml;</w:t>
            </w:r>
          </w:p>
        </w:tc>
      </w:tr>
      <w:tr w14:paraId="6138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0.5～10μL八道可调移液器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Eppendorf /Research plus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</w:p>
          <w:p w14:paraId="608D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BRAND /Transferpette® S-8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赛多利斯/mLINE 8 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或其他同等以上品牌型号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D2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1.1采用Perfect Piston™系统的高科技材质，重量轻（仅约80g），操作力小，坚固耐用，耐高温抗腐蚀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1.2可整支高温高压灭菌和紫外线灭菌，操作更安全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1.3人体工程学设计，显著减少手、手臂和肩膀用力，避免手部重复性劳损（RSI）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1.4下半支可徒手拆卸，便于清洁保养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1.5伸缩式弹性吸嘴设计，确保吸头装配的气密性和移液均一性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1.6四位数字放大体积显示，可精准设置移液体积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1.7体积视窗位置合理（在前面），便于移液观察，可单手设定体积及操作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1.8独有密度调节窗口，适用于不同密度的液体 ，通用性更广泛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 0.1μL－10mL 10种不同量程选择，全面满足不同使用需求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1.10颜色标识移液器量程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 RFID 数据芯片读取功能，可读取数据进行追踪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 多道移液器具备可拆卸的单独通道设计，确保移液精准性，节省维修成本</w:t>
            </w:r>
          </w:p>
          <w:p w14:paraId="3A536B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7A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4B3C">
            <w:pPr>
              <w:tabs>
                <w:tab w:val="left" w:pos="1820"/>
              </w:tabs>
              <w:spacing w:line="360" w:lineRule="auto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二、商务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要求</w:t>
            </w:r>
          </w:p>
        </w:tc>
      </w:tr>
      <w:tr w14:paraId="328F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3C1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质保期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6E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szCs w:val="21"/>
              </w:rPr>
              <w:t>质保期</w:t>
            </w:r>
            <w:r>
              <w:rPr>
                <w:rFonts w:hint="eastAsia" w:ascii="宋体" w:hAnsi="宋体" w:cs="宋体"/>
                <w:b/>
                <w:szCs w:val="21"/>
                <w:u w:val="single"/>
              </w:rPr>
              <w:t xml:space="preserve"> 1 </w:t>
            </w:r>
            <w:r>
              <w:rPr>
                <w:rFonts w:hint="eastAsia" w:ascii="宋体" w:hAnsi="宋体" w:cs="宋体"/>
                <w:b/>
                <w:szCs w:val="21"/>
              </w:rPr>
              <w:t>年。</w:t>
            </w:r>
            <w:r>
              <w:rPr>
                <w:rFonts w:hint="eastAsia" w:ascii="宋体" w:hAnsi="宋体" w:cs="宋体"/>
                <w:szCs w:val="21"/>
              </w:rPr>
              <w:t>（分项货物服务要求中有特别注明的，按特别注明的执行）</w:t>
            </w:r>
          </w:p>
          <w:p w14:paraId="28FEE80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2.所有货物服务</w:t>
            </w:r>
            <w:r>
              <w:rPr>
                <w:rFonts w:ascii="宋体" w:hAnsi="宋体" w:cs="宋体"/>
                <w:szCs w:val="21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国家</w:t>
            </w:r>
            <w:r>
              <w:rPr>
                <w:rFonts w:ascii="宋体" w:hAnsi="宋体" w:cs="宋体"/>
                <w:szCs w:val="21"/>
              </w:rPr>
              <w:t>“三包”</w:t>
            </w:r>
            <w:r>
              <w:rPr>
                <w:rFonts w:hint="eastAsia" w:ascii="宋体" w:hAnsi="宋体" w:cs="宋体"/>
                <w:szCs w:val="21"/>
              </w:rPr>
              <w:t>有关</w:t>
            </w:r>
            <w:r>
              <w:rPr>
                <w:rFonts w:ascii="宋体" w:hAnsi="宋体" w:cs="宋体"/>
                <w:szCs w:val="21"/>
              </w:rPr>
              <w:t>规定执行“三包”</w:t>
            </w:r>
            <w:r>
              <w:rPr>
                <w:rFonts w:hint="eastAsia" w:ascii="宋体" w:hAnsi="宋体" w:cs="宋体"/>
                <w:szCs w:val="21"/>
              </w:rPr>
              <w:t>。质保期自交付验收合格之日起计算，质保期内提供上门维修；质保期结束后，提供终身维护，并优惠提供相关零配件。</w:t>
            </w:r>
          </w:p>
        </w:tc>
      </w:tr>
      <w:tr w14:paraId="48C8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93A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产品及售后服务要求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E8F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成交人</w:t>
            </w:r>
            <w:r>
              <w:rPr>
                <w:rFonts w:ascii="宋体" w:hAnsi="宋体" w:cs="宋体"/>
                <w:szCs w:val="21"/>
              </w:rPr>
              <w:t>交付的所有</w:t>
            </w:r>
            <w:r>
              <w:rPr>
                <w:rFonts w:ascii="宋体" w:hAnsi="宋体" w:cs="宋体"/>
                <w:b/>
                <w:szCs w:val="21"/>
              </w:rPr>
              <w:t>设备</w:t>
            </w:r>
            <w:r>
              <w:rPr>
                <w:rFonts w:ascii="宋体" w:hAnsi="宋体" w:cs="宋体"/>
                <w:szCs w:val="21"/>
              </w:rPr>
              <w:t>必须是签订合同之日</w:t>
            </w:r>
            <w:r>
              <w:rPr>
                <w:rFonts w:hint="eastAsia" w:ascii="宋体" w:hAnsi="宋体" w:cs="宋体"/>
                <w:szCs w:val="21"/>
              </w:rPr>
              <w:t>近</w:t>
            </w:r>
            <w:r>
              <w:rPr>
                <w:rFonts w:hint="eastAsia" w:ascii="宋体" w:hAnsi="宋体" w:cs="宋体"/>
                <w:b/>
                <w:szCs w:val="21"/>
                <w:u w:val="single"/>
              </w:rPr>
              <w:t xml:space="preserve">  1  </w:t>
            </w:r>
            <w:r>
              <w:rPr>
                <w:rFonts w:ascii="宋体" w:hAnsi="宋体" w:cs="宋体"/>
                <w:b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内生产的产品。</w:t>
            </w:r>
          </w:p>
          <w:p w14:paraId="5908589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  <w:szCs w:val="21"/>
              </w:rPr>
              <w:t>（所有货物仅接受现场交付，不接受邮递）</w:t>
            </w:r>
          </w:p>
          <w:p w14:paraId="6397D73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3.为采购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szCs w:val="21"/>
              </w:rPr>
              <w:t>产品</w:t>
            </w:r>
            <w:r>
              <w:rPr>
                <w:rFonts w:ascii="宋体" w:hAnsi="宋体" w:cs="宋体"/>
                <w:szCs w:val="21"/>
              </w:rPr>
              <w:t>操作</w:t>
            </w:r>
            <w:r>
              <w:rPr>
                <w:rFonts w:hint="eastAsia" w:ascii="宋体" w:hAnsi="宋体" w:cs="宋体"/>
                <w:szCs w:val="21"/>
              </w:rPr>
              <w:t>、维修、日常养护等方面的</w:t>
            </w:r>
            <w:r>
              <w:rPr>
                <w:rFonts w:ascii="宋体" w:hAnsi="宋体" w:cs="宋体"/>
                <w:szCs w:val="21"/>
              </w:rPr>
              <w:t>培训，确保</w:t>
            </w:r>
            <w:r>
              <w:rPr>
                <w:rFonts w:hint="eastAsia" w:ascii="宋体" w:hAnsi="宋体" w:cs="宋体"/>
                <w:szCs w:val="21"/>
              </w:rPr>
              <w:t>采购方使用人员</w:t>
            </w:r>
            <w:r>
              <w:rPr>
                <w:rFonts w:ascii="宋体" w:hAnsi="宋体" w:cs="宋体"/>
                <w:szCs w:val="21"/>
              </w:rPr>
              <w:t>能独立操作使用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培训人数</w:t>
            </w:r>
            <w:r>
              <w:rPr>
                <w:rFonts w:hint="eastAsia" w:ascii="宋体" w:hAnsi="宋体" w:cs="宋体"/>
                <w:szCs w:val="21"/>
              </w:rPr>
              <w:t>、时间、地点等</w:t>
            </w:r>
            <w:r>
              <w:rPr>
                <w:rFonts w:ascii="宋体" w:hAnsi="宋体" w:cs="宋体"/>
                <w:szCs w:val="21"/>
              </w:rPr>
              <w:t>由采购</w:t>
            </w:r>
            <w:r>
              <w:rPr>
                <w:rFonts w:hint="eastAsia" w:ascii="宋体" w:hAnsi="宋体" w:cs="宋体"/>
                <w:szCs w:val="21"/>
              </w:rPr>
              <w:t>人指定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3F6AD0DA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4.故障响应时间：</w:t>
            </w:r>
            <w:r>
              <w:rPr>
                <w:rFonts w:hint="eastAsia" w:ascii="Arial" w:hAnsi="Arial" w:cs="Arial"/>
                <w:szCs w:val="21"/>
              </w:rPr>
              <w:t>乙方在接到甲方通知后在按</w:t>
            </w:r>
            <w:r>
              <w:rPr>
                <w:rFonts w:hint="eastAsia" w:ascii="Arial" w:hAnsi="Arial" w:cs="Arial"/>
                <w:szCs w:val="21"/>
                <w:highlight w:val="none"/>
                <w:u w:val="single"/>
              </w:rPr>
              <w:t xml:space="preserve"> 2 </w:t>
            </w:r>
            <w:r>
              <w:rPr>
                <w:rFonts w:hint="eastAsia" w:ascii="Arial" w:hAnsi="Arial" w:cs="Arial"/>
                <w:szCs w:val="21"/>
              </w:rPr>
              <w:t>小时内到达现场进行处理，到达现场后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4 </w:t>
            </w:r>
            <w:r>
              <w:rPr>
                <w:rFonts w:hint="eastAsia" w:ascii="Arial" w:hAnsi="Arial" w:cs="Arial"/>
                <w:szCs w:val="21"/>
              </w:rPr>
              <w:t>小时内排除故障，恢复正常使用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5CC39E0B">
            <w:pPr>
              <w:rPr>
                <w:rFonts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  <w:szCs w:val="21"/>
              </w:rPr>
              <w:t>供货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安装过程中产生的残留物或垃圾，</w:t>
            </w:r>
            <w:r>
              <w:rPr>
                <w:rFonts w:hint="eastAsia" w:ascii="宋体" w:hAnsi="宋体" w:cs="宋体"/>
                <w:szCs w:val="21"/>
              </w:rPr>
              <w:t>成交人需</w:t>
            </w:r>
            <w:r>
              <w:rPr>
                <w:rFonts w:ascii="宋体" w:hAnsi="宋体" w:cs="宋体"/>
                <w:szCs w:val="21"/>
              </w:rPr>
              <w:t>自行清理至校外。</w:t>
            </w:r>
          </w:p>
        </w:tc>
      </w:tr>
      <w:tr w14:paraId="37E8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198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交付时间、交付地点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0996">
            <w:pPr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1.交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付</w:t>
            </w:r>
            <w:r>
              <w:rPr>
                <w:rFonts w:ascii="宋体" w:hAnsi="宋体" w:cs="宋体"/>
                <w:spacing w:val="-2"/>
                <w:szCs w:val="21"/>
              </w:rPr>
              <w:t>时间：自签订合同之日</w:t>
            </w:r>
            <w:r>
              <w:rPr>
                <w:rFonts w:ascii="宋体" w:hAnsi="宋体" w:cs="宋体"/>
                <w:spacing w:val="-2"/>
                <w:szCs w:val="21"/>
                <w:highlight w:val="none"/>
              </w:rPr>
              <w:t>起</w:t>
            </w:r>
            <w:r>
              <w:rPr>
                <w:rFonts w:hint="eastAsia" w:ascii="宋体" w:hAnsi="宋体" w:cs="宋体"/>
                <w:spacing w:val="-2"/>
                <w:szCs w:val="21"/>
                <w:highlight w:val="none"/>
                <w:u w:val="single"/>
              </w:rPr>
              <w:t>15</w:t>
            </w:r>
            <w:r>
              <w:rPr>
                <w:rFonts w:hint="eastAsia" w:ascii="宋体" w:hAnsi="宋体" w:cs="宋体"/>
                <w:spacing w:val="-2"/>
                <w:szCs w:val="21"/>
                <w:highlight w:val="none"/>
              </w:rPr>
              <w:t>日内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全部交付完成并验收合格。</w:t>
            </w:r>
          </w:p>
          <w:p w14:paraId="271FE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2.交</w:t>
            </w:r>
            <w:r>
              <w:rPr>
                <w:rFonts w:hint="eastAsia" w:ascii="宋体" w:hAnsi="宋体" w:cs="宋体"/>
                <w:szCs w:val="21"/>
              </w:rPr>
              <w:t>付</w:t>
            </w:r>
            <w:r>
              <w:rPr>
                <w:rFonts w:ascii="宋体" w:hAnsi="宋体" w:cs="宋体"/>
                <w:szCs w:val="21"/>
              </w:rPr>
              <w:t>地点：广西</w:t>
            </w:r>
            <w:r>
              <w:rPr>
                <w:rFonts w:hint="eastAsia" w:ascii="宋体" w:hAnsi="宋体" w:cs="宋体"/>
                <w:szCs w:val="21"/>
              </w:rPr>
              <w:t>中医药大学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14:paraId="4802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985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付款条件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D5A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签订合同后10个工作日内甲方向乙方支付合同总金额30%的预付款，待货物安装调试完毕并最终验收合格后，甲方在 20个工作日内凭乙方开具的全额发票付清乙方剩余的70%合同款。若乙方未按时开具发票，甲方有权延迟付款并不能认定为违约。(无履约保证金、无息)。甲方按约将货款付至合同约定的银行账户(该账户的真实性及合法性由乙方负责);如因乙方提供的账户信息错误导致无法付款、迟延付款等情形的不视为甲方违约;乙方变更收款银行账户的，应在变更之前书面通知甲方，否则应承担甲方无法付款、迟延付款或付款错误等全部责任。</w:t>
            </w:r>
          </w:p>
          <w:p w14:paraId="5E9A80B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2.本项目收取履约保证金：☑无    □有，人民币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元。</w:t>
            </w:r>
          </w:p>
          <w:p w14:paraId="019CB5C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项目收取履约保证金的，成交人须在合同签订前向采购人账户转付成交金额</w:t>
            </w:r>
            <w:r>
              <w:rPr>
                <w:rFonts w:ascii="宋体" w:hAnsi="宋体" w:cs="宋体"/>
                <w:bCs/>
                <w:szCs w:val="21"/>
              </w:rPr>
              <w:t>2%的履约保证金，否则不予签订合同</w:t>
            </w:r>
            <w:r>
              <w:rPr>
                <w:rFonts w:hint="eastAsia" w:ascii="宋体" w:hAnsi="宋体" w:cs="宋体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履约保证金在</w:t>
            </w:r>
            <w:r>
              <w:rPr>
                <w:rFonts w:hint="eastAsia" w:ascii="宋体" w:hAnsi="宋体" w:cs="宋体"/>
                <w:bCs/>
                <w:szCs w:val="21"/>
              </w:rPr>
              <w:t>采购内容全部交付</w:t>
            </w:r>
            <w:r>
              <w:rPr>
                <w:rFonts w:ascii="宋体" w:hAnsi="宋体" w:cs="宋体"/>
                <w:bCs/>
                <w:szCs w:val="21"/>
              </w:rPr>
              <w:t>验收</w:t>
            </w:r>
            <w:r>
              <w:rPr>
                <w:rFonts w:hint="eastAsia" w:ascii="宋体" w:hAnsi="宋体" w:cs="宋体"/>
                <w:bCs/>
                <w:szCs w:val="21"/>
              </w:rPr>
              <w:t>完成</w:t>
            </w:r>
            <w:r>
              <w:rPr>
                <w:rFonts w:ascii="宋体" w:hAnsi="宋体" w:cs="宋体"/>
                <w:bCs/>
                <w:szCs w:val="21"/>
              </w:rPr>
              <w:t>之后</w:t>
            </w:r>
            <w:r>
              <w:rPr>
                <w:rFonts w:hint="eastAsia" w:ascii="宋体" w:hAnsi="宋体" w:cs="宋体"/>
                <w:bCs/>
                <w:szCs w:val="21"/>
              </w:rPr>
              <w:t>（或服务期满后）</w:t>
            </w:r>
            <w:r>
              <w:rPr>
                <w:rFonts w:ascii="宋体" w:hAnsi="宋体" w:cs="宋体"/>
                <w:bCs/>
                <w:szCs w:val="21"/>
              </w:rPr>
              <w:t>无息退付。</w:t>
            </w:r>
          </w:p>
        </w:tc>
      </w:tr>
      <w:tr w14:paraId="1B61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A2B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报价要求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AC90">
            <w:pPr>
              <w:numPr>
                <w:ilvl w:val="0"/>
                <w:numId w:val="2"/>
              </w:numPr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所有价格均用人民币表示，单位为</w:t>
            </w:r>
            <w:r>
              <w:rPr>
                <w:rFonts w:hint="eastAsia" w:ascii="宋体" w:hAnsi="宋体" w:cs="仿宋"/>
                <w:b/>
                <w:color w:val="00000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元，精确到小数点后两位；报价合计金额高于预算金额的报价无效。</w:t>
            </w:r>
          </w:p>
          <w:p w14:paraId="6248C22D">
            <w:pPr>
              <w:numPr>
                <w:ilvl w:val="0"/>
                <w:numId w:val="2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报价一经涂改，应在涂改处加盖单位公章，否则其投标作无效标处理。</w:t>
            </w:r>
          </w:p>
          <w:p w14:paraId="441F75B9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报价包括项目采购标的及实施所需的材料费、设备费、人工费、服务费、运输费、安装调试费、税费、质保期内维护费（含维修、养护等）、必要的保险或检测费用等其他一切费用</w:t>
            </w:r>
            <w:r>
              <w:rPr>
                <w:rFonts w:hint="eastAsia" w:ascii="宋体" w:hAnsi="宋体" w:cs="仿宋"/>
                <w:b/>
                <w:color w:val="000000"/>
                <w:szCs w:val="21"/>
                <w:lang w:eastAsia="zh-CN"/>
              </w:rPr>
              <w:t>。</w:t>
            </w:r>
          </w:p>
        </w:tc>
      </w:tr>
      <w:tr w14:paraId="2A4E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3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三、其他要求</w:t>
            </w:r>
          </w:p>
        </w:tc>
      </w:tr>
      <w:tr w14:paraId="7C57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E6F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其它要求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4FF8"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在“信用中国”网站、中国政府采购网被列入失信被执行人、重大税收违法案件当事人名单、政府采购严重违法失信行为记录名单及其他不符合《中华人民共和国政府采购法》第二十二条规定的供应商，不得参与投标报价。</w:t>
            </w:r>
          </w:p>
          <w:p w14:paraId="41344A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2、本项目采购任务急，现特向潜在供应商作出相关提醒：供应商存在不按要求报价、不按要求提供审查资料、或资料审查不合格、成交后无故放弃、不按合同履行等违约行为的， 采购人有权按预算金额20%的赔偿金额向成交供应商追偿其所造成的损失。</w:t>
            </w:r>
          </w:p>
        </w:tc>
      </w:tr>
    </w:tbl>
    <w:p w14:paraId="6B9D01DF">
      <w:pPr>
        <w:pStyle w:val="10"/>
        <w:widowControl/>
        <w:spacing w:after="452" w:line="555" w:lineRule="atLeast"/>
        <w:rPr>
          <w:rStyle w:val="15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</w:sdtPr>
    <w:sdtContent>
      <w:sdt>
        <w:sdtPr>
          <w:id w:val="171357217"/>
        </w:sdtPr>
        <w:sdtContent>
          <w:p w14:paraId="0244C189"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B0E5F"/>
    <w:multiLevelType w:val="singleLevel"/>
    <w:tmpl w:val="0CCB0E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371A66"/>
    <w:multiLevelType w:val="singleLevel"/>
    <w:tmpl w:val="2A371A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B20474A"/>
    <w:multiLevelType w:val="singleLevel"/>
    <w:tmpl w:val="7B204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GJkMjQ2YWU3YzI0ZWQ5MDIzYTA5NWI0MDhjY2EifQ=="/>
  </w:docVars>
  <w:rsids>
    <w:rsidRoot w:val="52D653D6"/>
    <w:rsid w:val="00002994"/>
    <w:rsid w:val="000102D3"/>
    <w:rsid w:val="0001736C"/>
    <w:rsid w:val="00021BD6"/>
    <w:rsid w:val="00022DB0"/>
    <w:rsid w:val="000408C1"/>
    <w:rsid w:val="00047C0E"/>
    <w:rsid w:val="00056B5E"/>
    <w:rsid w:val="000808B9"/>
    <w:rsid w:val="000818CE"/>
    <w:rsid w:val="00082409"/>
    <w:rsid w:val="00082EF6"/>
    <w:rsid w:val="00087E6F"/>
    <w:rsid w:val="00092BBF"/>
    <w:rsid w:val="000953D5"/>
    <w:rsid w:val="000A3D19"/>
    <w:rsid w:val="000A5D39"/>
    <w:rsid w:val="000C4E31"/>
    <w:rsid w:val="000E64E3"/>
    <w:rsid w:val="000F48C3"/>
    <w:rsid w:val="00102784"/>
    <w:rsid w:val="0010348A"/>
    <w:rsid w:val="00110A81"/>
    <w:rsid w:val="00117EF0"/>
    <w:rsid w:val="00127AFC"/>
    <w:rsid w:val="00133620"/>
    <w:rsid w:val="00142928"/>
    <w:rsid w:val="00150216"/>
    <w:rsid w:val="0015389D"/>
    <w:rsid w:val="00156346"/>
    <w:rsid w:val="0017414C"/>
    <w:rsid w:val="0018636D"/>
    <w:rsid w:val="001B37D8"/>
    <w:rsid w:val="001C0A0B"/>
    <w:rsid w:val="001C5E3E"/>
    <w:rsid w:val="001D0CC4"/>
    <w:rsid w:val="001D3CF7"/>
    <w:rsid w:val="001D40D9"/>
    <w:rsid w:val="001F0DE4"/>
    <w:rsid w:val="001F1305"/>
    <w:rsid w:val="00204020"/>
    <w:rsid w:val="00227F58"/>
    <w:rsid w:val="002310AC"/>
    <w:rsid w:val="00232C58"/>
    <w:rsid w:val="00253977"/>
    <w:rsid w:val="002562E1"/>
    <w:rsid w:val="00262C20"/>
    <w:rsid w:val="00266048"/>
    <w:rsid w:val="00266758"/>
    <w:rsid w:val="0027553D"/>
    <w:rsid w:val="0027639E"/>
    <w:rsid w:val="00293E0B"/>
    <w:rsid w:val="002A648D"/>
    <w:rsid w:val="002C48D1"/>
    <w:rsid w:val="002E0607"/>
    <w:rsid w:val="00312577"/>
    <w:rsid w:val="00333695"/>
    <w:rsid w:val="00351A5E"/>
    <w:rsid w:val="003848E9"/>
    <w:rsid w:val="003B4F6A"/>
    <w:rsid w:val="003D1DCB"/>
    <w:rsid w:val="003D7CA4"/>
    <w:rsid w:val="003E6F60"/>
    <w:rsid w:val="00401437"/>
    <w:rsid w:val="004071AF"/>
    <w:rsid w:val="0040787D"/>
    <w:rsid w:val="00407C7B"/>
    <w:rsid w:val="004167FA"/>
    <w:rsid w:val="00431E0E"/>
    <w:rsid w:val="00435453"/>
    <w:rsid w:val="00453684"/>
    <w:rsid w:val="00463A88"/>
    <w:rsid w:val="00467F02"/>
    <w:rsid w:val="00474A3B"/>
    <w:rsid w:val="0048288D"/>
    <w:rsid w:val="0048565F"/>
    <w:rsid w:val="004D446A"/>
    <w:rsid w:val="004D6593"/>
    <w:rsid w:val="004E020D"/>
    <w:rsid w:val="004E2611"/>
    <w:rsid w:val="004E3B7E"/>
    <w:rsid w:val="004E5F3B"/>
    <w:rsid w:val="0050326B"/>
    <w:rsid w:val="005166BE"/>
    <w:rsid w:val="0052249A"/>
    <w:rsid w:val="00547DDF"/>
    <w:rsid w:val="0055287B"/>
    <w:rsid w:val="005650A8"/>
    <w:rsid w:val="005650B2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55E69"/>
    <w:rsid w:val="00660F53"/>
    <w:rsid w:val="00681F69"/>
    <w:rsid w:val="00696CD7"/>
    <w:rsid w:val="006A4493"/>
    <w:rsid w:val="006C62A8"/>
    <w:rsid w:val="006D028E"/>
    <w:rsid w:val="006D1F21"/>
    <w:rsid w:val="006E0179"/>
    <w:rsid w:val="006E297E"/>
    <w:rsid w:val="006E3CF1"/>
    <w:rsid w:val="006E5784"/>
    <w:rsid w:val="006E6C19"/>
    <w:rsid w:val="00710C8F"/>
    <w:rsid w:val="007270EA"/>
    <w:rsid w:val="00733E15"/>
    <w:rsid w:val="0075181E"/>
    <w:rsid w:val="007624A7"/>
    <w:rsid w:val="007828C7"/>
    <w:rsid w:val="007942C7"/>
    <w:rsid w:val="007A4C72"/>
    <w:rsid w:val="007B21E3"/>
    <w:rsid w:val="007B4626"/>
    <w:rsid w:val="007C409B"/>
    <w:rsid w:val="007C5205"/>
    <w:rsid w:val="00801CC6"/>
    <w:rsid w:val="0080519D"/>
    <w:rsid w:val="00830BFD"/>
    <w:rsid w:val="008350EC"/>
    <w:rsid w:val="00835CD1"/>
    <w:rsid w:val="00853064"/>
    <w:rsid w:val="00857045"/>
    <w:rsid w:val="00871030"/>
    <w:rsid w:val="00896BE4"/>
    <w:rsid w:val="008A0012"/>
    <w:rsid w:val="008B090F"/>
    <w:rsid w:val="008B10DB"/>
    <w:rsid w:val="008D14DD"/>
    <w:rsid w:val="008D28D6"/>
    <w:rsid w:val="008E356A"/>
    <w:rsid w:val="008E6872"/>
    <w:rsid w:val="008F2BB9"/>
    <w:rsid w:val="00921188"/>
    <w:rsid w:val="009254E6"/>
    <w:rsid w:val="009273B2"/>
    <w:rsid w:val="00933947"/>
    <w:rsid w:val="00954DF6"/>
    <w:rsid w:val="00973544"/>
    <w:rsid w:val="00976B0B"/>
    <w:rsid w:val="00980C1A"/>
    <w:rsid w:val="00991123"/>
    <w:rsid w:val="009A0E5A"/>
    <w:rsid w:val="009A4990"/>
    <w:rsid w:val="009E24CA"/>
    <w:rsid w:val="009E40CD"/>
    <w:rsid w:val="009E469C"/>
    <w:rsid w:val="009E7472"/>
    <w:rsid w:val="00A173CF"/>
    <w:rsid w:val="00A24850"/>
    <w:rsid w:val="00A25973"/>
    <w:rsid w:val="00A30A44"/>
    <w:rsid w:val="00A31597"/>
    <w:rsid w:val="00A82D07"/>
    <w:rsid w:val="00A86CD0"/>
    <w:rsid w:val="00A91344"/>
    <w:rsid w:val="00A95723"/>
    <w:rsid w:val="00AB0679"/>
    <w:rsid w:val="00AC4CAC"/>
    <w:rsid w:val="00AC7DAE"/>
    <w:rsid w:val="00AD3300"/>
    <w:rsid w:val="00B07709"/>
    <w:rsid w:val="00B11EDA"/>
    <w:rsid w:val="00B12D00"/>
    <w:rsid w:val="00B17646"/>
    <w:rsid w:val="00B25E09"/>
    <w:rsid w:val="00B47E3C"/>
    <w:rsid w:val="00B671EC"/>
    <w:rsid w:val="00B731F5"/>
    <w:rsid w:val="00B81F9C"/>
    <w:rsid w:val="00B86469"/>
    <w:rsid w:val="00B91B26"/>
    <w:rsid w:val="00B95E1D"/>
    <w:rsid w:val="00B96A3E"/>
    <w:rsid w:val="00BA4B5D"/>
    <w:rsid w:val="00BB058F"/>
    <w:rsid w:val="00BB208F"/>
    <w:rsid w:val="00BD325C"/>
    <w:rsid w:val="00BD4895"/>
    <w:rsid w:val="00BD6001"/>
    <w:rsid w:val="00BE601F"/>
    <w:rsid w:val="00BF406C"/>
    <w:rsid w:val="00BF531C"/>
    <w:rsid w:val="00C14009"/>
    <w:rsid w:val="00C30E63"/>
    <w:rsid w:val="00C47714"/>
    <w:rsid w:val="00C671A9"/>
    <w:rsid w:val="00C75936"/>
    <w:rsid w:val="00C81107"/>
    <w:rsid w:val="00C92655"/>
    <w:rsid w:val="00CB26C2"/>
    <w:rsid w:val="00CE11B5"/>
    <w:rsid w:val="00CF4136"/>
    <w:rsid w:val="00CF77EF"/>
    <w:rsid w:val="00D13A3C"/>
    <w:rsid w:val="00D20611"/>
    <w:rsid w:val="00D24B5D"/>
    <w:rsid w:val="00D36B28"/>
    <w:rsid w:val="00D404D1"/>
    <w:rsid w:val="00D40C11"/>
    <w:rsid w:val="00D44D05"/>
    <w:rsid w:val="00D457A7"/>
    <w:rsid w:val="00D476EA"/>
    <w:rsid w:val="00D71E77"/>
    <w:rsid w:val="00D84986"/>
    <w:rsid w:val="00D9050C"/>
    <w:rsid w:val="00DA06E7"/>
    <w:rsid w:val="00DC72FA"/>
    <w:rsid w:val="00DE3942"/>
    <w:rsid w:val="00DE62C0"/>
    <w:rsid w:val="00DF3090"/>
    <w:rsid w:val="00DF3C24"/>
    <w:rsid w:val="00E0409A"/>
    <w:rsid w:val="00E11FB9"/>
    <w:rsid w:val="00E12ED2"/>
    <w:rsid w:val="00E25AAB"/>
    <w:rsid w:val="00E44071"/>
    <w:rsid w:val="00E4439D"/>
    <w:rsid w:val="00E72E28"/>
    <w:rsid w:val="00E811D1"/>
    <w:rsid w:val="00E97C10"/>
    <w:rsid w:val="00EB7ADE"/>
    <w:rsid w:val="00EC277A"/>
    <w:rsid w:val="00ED3D64"/>
    <w:rsid w:val="00EE293F"/>
    <w:rsid w:val="00EE355B"/>
    <w:rsid w:val="00EE6160"/>
    <w:rsid w:val="00EF299F"/>
    <w:rsid w:val="00EF4227"/>
    <w:rsid w:val="00EF6487"/>
    <w:rsid w:val="00F20CDC"/>
    <w:rsid w:val="00F24410"/>
    <w:rsid w:val="00F25E3C"/>
    <w:rsid w:val="00F26972"/>
    <w:rsid w:val="00F330CB"/>
    <w:rsid w:val="00F348C2"/>
    <w:rsid w:val="00F408EA"/>
    <w:rsid w:val="00F5062C"/>
    <w:rsid w:val="00F56375"/>
    <w:rsid w:val="00F73016"/>
    <w:rsid w:val="00F92D4B"/>
    <w:rsid w:val="00F94F4A"/>
    <w:rsid w:val="00FB02B1"/>
    <w:rsid w:val="00FB3DFA"/>
    <w:rsid w:val="00FD4FF4"/>
    <w:rsid w:val="00FD620A"/>
    <w:rsid w:val="014F4893"/>
    <w:rsid w:val="0163247B"/>
    <w:rsid w:val="019D5E02"/>
    <w:rsid w:val="05014CC8"/>
    <w:rsid w:val="05E90218"/>
    <w:rsid w:val="06C929F2"/>
    <w:rsid w:val="088F7636"/>
    <w:rsid w:val="09287D76"/>
    <w:rsid w:val="09E37FB3"/>
    <w:rsid w:val="0A0F5BB5"/>
    <w:rsid w:val="0B5B31D1"/>
    <w:rsid w:val="0B8E1704"/>
    <w:rsid w:val="0C93343B"/>
    <w:rsid w:val="0CC46135"/>
    <w:rsid w:val="0E6F05D1"/>
    <w:rsid w:val="0F074FAA"/>
    <w:rsid w:val="0F242EBB"/>
    <w:rsid w:val="10D0497D"/>
    <w:rsid w:val="12F31522"/>
    <w:rsid w:val="15333719"/>
    <w:rsid w:val="157A4E35"/>
    <w:rsid w:val="15A6480D"/>
    <w:rsid w:val="1608351E"/>
    <w:rsid w:val="1BAA04CD"/>
    <w:rsid w:val="1C3E4E69"/>
    <w:rsid w:val="1DF613D3"/>
    <w:rsid w:val="1EFD54D7"/>
    <w:rsid w:val="1F7C289F"/>
    <w:rsid w:val="20A0716E"/>
    <w:rsid w:val="21E9568B"/>
    <w:rsid w:val="22525B39"/>
    <w:rsid w:val="22833F45"/>
    <w:rsid w:val="230D3836"/>
    <w:rsid w:val="24217571"/>
    <w:rsid w:val="242F04AA"/>
    <w:rsid w:val="24F5112A"/>
    <w:rsid w:val="258B55EA"/>
    <w:rsid w:val="25AE21C0"/>
    <w:rsid w:val="26A022EB"/>
    <w:rsid w:val="278E005D"/>
    <w:rsid w:val="288B42E2"/>
    <w:rsid w:val="2B597F39"/>
    <w:rsid w:val="2C14607B"/>
    <w:rsid w:val="2C2422F5"/>
    <w:rsid w:val="2F887AA1"/>
    <w:rsid w:val="2FEC2936"/>
    <w:rsid w:val="2FFB5E74"/>
    <w:rsid w:val="30175C86"/>
    <w:rsid w:val="3038292B"/>
    <w:rsid w:val="31222D8D"/>
    <w:rsid w:val="32F71A53"/>
    <w:rsid w:val="33741BAE"/>
    <w:rsid w:val="33F53549"/>
    <w:rsid w:val="36525CB0"/>
    <w:rsid w:val="36C069DA"/>
    <w:rsid w:val="38290730"/>
    <w:rsid w:val="39C82408"/>
    <w:rsid w:val="3A1514CF"/>
    <w:rsid w:val="3BDC4EF4"/>
    <w:rsid w:val="3E201A80"/>
    <w:rsid w:val="3E8F7AA2"/>
    <w:rsid w:val="40BC08F6"/>
    <w:rsid w:val="41842ED7"/>
    <w:rsid w:val="41E80EEB"/>
    <w:rsid w:val="422E5823"/>
    <w:rsid w:val="43021B70"/>
    <w:rsid w:val="44E060C2"/>
    <w:rsid w:val="44F42A38"/>
    <w:rsid w:val="45EE1552"/>
    <w:rsid w:val="4708796F"/>
    <w:rsid w:val="47283916"/>
    <w:rsid w:val="496B2EB9"/>
    <w:rsid w:val="49DC3DB7"/>
    <w:rsid w:val="4A8C26DF"/>
    <w:rsid w:val="4AEE4B4E"/>
    <w:rsid w:val="4C940979"/>
    <w:rsid w:val="4D237BB0"/>
    <w:rsid w:val="4D901140"/>
    <w:rsid w:val="4FAF63F5"/>
    <w:rsid w:val="508F329F"/>
    <w:rsid w:val="50F5172E"/>
    <w:rsid w:val="52264F17"/>
    <w:rsid w:val="527B4618"/>
    <w:rsid w:val="52B813CD"/>
    <w:rsid w:val="52D653D6"/>
    <w:rsid w:val="531C47BB"/>
    <w:rsid w:val="554B78CD"/>
    <w:rsid w:val="58E50BA2"/>
    <w:rsid w:val="598B674F"/>
    <w:rsid w:val="59F111B9"/>
    <w:rsid w:val="5A025174"/>
    <w:rsid w:val="5B24736C"/>
    <w:rsid w:val="5B6476D9"/>
    <w:rsid w:val="5B8E2CD1"/>
    <w:rsid w:val="5D5E44AA"/>
    <w:rsid w:val="5E8172C0"/>
    <w:rsid w:val="60892E13"/>
    <w:rsid w:val="621F2FB4"/>
    <w:rsid w:val="628F7431"/>
    <w:rsid w:val="648F5856"/>
    <w:rsid w:val="656315AF"/>
    <w:rsid w:val="66661FED"/>
    <w:rsid w:val="67513204"/>
    <w:rsid w:val="67D866A0"/>
    <w:rsid w:val="69927C4C"/>
    <w:rsid w:val="6B565AB1"/>
    <w:rsid w:val="6C28527F"/>
    <w:rsid w:val="6D6123F1"/>
    <w:rsid w:val="6D8004DD"/>
    <w:rsid w:val="6DFE6DB5"/>
    <w:rsid w:val="6E27654C"/>
    <w:rsid w:val="6F2F0361"/>
    <w:rsid w:val="6F71097A"/>
    <w:rsid w:val="6F9A63EE"/>
    <w:rsid w:val="6FC46BA4"/>
    <w:rsid w:val="71193077"/>
    <w:rsid w:val="72363AA1"/>
    <w:rsid w:val="72CB65F3"/>
    <w:rsid w:val="7357203A"/>
    <w:rsid w:val="73A7440E"/>
    <w:rsid w:val="74CB28DA"/>
    <w:rsid w:val="75352A78"/>
    <w:rsid w:val="76A25AB4"/>
    <w:rsid w:val="7835786E"/>
    <w:rsid w:val="7836450F"/>
    <w:rsid w:val="7A1A6032"/>
    <w:rsid w:val="7A995229"/>
    <w:rsid w:val="7B6B7826"/>
    <w:rsid w:val="7BC6204D"/>
    <w:rsid w:val="7C2B051C"/>
    <w:rsid w:val="7CDA58DC"/>
    <w:rsid w:val="7E3E3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heading 4"/>
    <w:basedOn w:val="1"/>
    <w:next w:val="1"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annotation text"/>
    <w:basedOn w:val="1"/>
    <w:link w:val="35"/>
    <w:unhideWhenUsed/>
    <w:qFormat/>
    <w:uiPriority w:val="0"/>
    <w:pPr>
      <w:jc w:val="left"/>
    </w:pPr>
  </w:style>
  <w:style w:type="paragraph" w:styleId="6">
    <w:name w:val="Plain Text"/>
    <w:basedOn w:val="1"/>
    <w:link w:val="32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7">
    <w:name w:val="Balloon Text"/>
    <w:basedOn w:val="1"/>
    <w:link w:val="37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36"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3333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annotation reference"/>
    <w:basedOn w:val="14"/>
    <w:unhideWhenUsed/>
    <w:qFormat/>
    <w:uiPriority w:val="0"/>
    <w:rPr>
      <w:sz w:val="21"/>
      <w:szCs w:val="21"/>
    </w:rPr>
  </w:style>
  <w:style w:type="character" w:styleId="24">
    <w:name w:val="HTML Cite"/>
    <w:basedOn w:val="14"/>
    <w:qFormat/>
    <w:uiPriority w:val="0"/>
  </w:style>
  <w:style w:type="character" w:customStyle="1" w:styleId="25">
    <w:name w:val="current"/>
    <w:basedOn w:val="14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6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页眉 字符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纯文本 字符"/>
    <w:basedOn w:val="14"/>
    <w:link w:val="6"/>
    <w:qFormat/>
    <w:uiPriority w:val="0"/>
    <w:rPr>
      <w:rFonts w:ascii="宋体" w:hAnsi="Courier New" w:cs="Courier New"/>
      <w:szCs w:val="21"/>
    </w:rPr>
  </w:style>
  <w:style w:type="paragraph" w:customStyle="1" w:styleId="33">
    <w:name w:val="无间隔1"/>
    <w:link w:val="3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4">
    <w:name w:val="无间隔 Char"/>
    <w:basedOn w:val="14"/>
    <w:link w:val="3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5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6">
    <w:name w:val="批注主题 字符"/>
    <w:basedOn w:val="35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7">
    <w:name w:val="批注框文本 字符"/>
    <w:basedOn w:val="14"/>
    <w:link w:val="7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8">
    <w:name w:val="Char Char Char Char Char Char Char1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E2B7-C2ED-46FF-8FFB-057EE05C9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8224</Words>
  <Characters>11236</Characters>
  <Lines>7</Lines>
  <Paragraphs>2</Paragraphs>
  <TotalTime>10</TotalTime>
  <ScaleCrop>false</ScaleCrop>
  <LinksUpToDate>false</LinksUpToDate>
  <CharactersWithSpaces>12039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2022-01-12T07:29:00Z</dcterms:created>
  <dc:creator>Administrator</dc:creator>
  <cp:lastModifiedBy>Owen</cp:lastModifiedBy>
  <cp:lastPrinted>2025-12-08T02:57:18Z</cp:lastPrinted>
  <dcterms:modified xsi:type="dcterms:W3CDTF">2025-12-08T03:07:32Z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238D1522232D4F329BDACC85316D8066_13</vt:lpwstr>
  </property>
  <property fmtid="{D5CDD505-2E9C-101B-9397-08002B2CF9AE}" pid="4" name="KSOTemplateDocerSaveRecord">
    <vt:lpwstr>eyJoZGlkIjoiYTk2YWIxMjRkMzkyMGRlZjExNTBiNzNiYWIyYjIyYzMiLCJ1c2VySWQiOiI0MjIzNDkyNTMifQ==</vt:lpwstr>
  </property>
</Properties>
</file>