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rPr>
          <w:rFonts w:hint="eastAsia"/>
        </w:rPr>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667"/>
        <w:gridCol w:w="727"/>
        <w:gridCol w:w="987"/>
      </w:tblGrid>
      <w:tr w14:paraId="451022AB">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ascii="宋体" w:hAnsi="宋体"/>
                <w:b/>
                <w:bCs/>
                <w:color w:val="000000"/>
                <w:szCs w:val="21"/>
              </w:rPr>
            </w:pPr>
            <w:bookmarkStart w:id="0" w:name="_GoBack"/>
            <w:bookmarkEnd w:id="0"/>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14:paraId="02F049EE">
            <w:pPr>
              <w:jc w:val="center"/>
              <w:rPr>
                <w:rFonts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14:paraId="1BC26339">
            <w:pPr>
              <w:jc w:val="center"/>
              <w:rPr>
                <w:rFonts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会议专用显示终端</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希沃、视隆、兴视科</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02FE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一、屏幕显示效果</w:t>
            </w:r>
          </w:p>
          <w:p w14:paraId="590A5C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▲1、整机屏幕采用≥86英寸液晶显示器。</w:t>
            </w:r>
          </w:p>
          <w:p w14:paraId="667244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2、整机采用超高清LED液晶显示屏，显示比例16:9，分辨率3840×2160。</w:t>
            </w:r>
          </w:p>
          <w:p w14:paraId="1D7CC09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3、整机色域覆盖率（NTSC）≥72%</w:t>
            </w:r>
          </w:p>
          <w:p w14:paraId="09876AB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4、整机背光系统支持DC调光方式，多级亮度调节，支持白颜色背景下最暗亮度≤100nit，用于提升显示对比度。</w:t>
            </w:r>
          </w:p>
          <w:p w14:paraId="601712C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5、灰阶等级≥256级。</w:t>
            </w:r>
          </w:p>
          <w:p w14:paraId="2F03F8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6、整机屏幕蓝光占比（有害蓝光415～455nm能量综合）/（整体蓝光400～500能量综合）＜50%</w:t>
            </w:r>
          </w:p>
          <w:p w14:paraId="405C3A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7、支持标准、多媒体和节能三种图像模式调节。</w:t>
            </w:r>
          </w:p>
          <w:p w14:paraId="4D5EA36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8、支持自定义图像设置，可对对比度、屏幕色温、图像亮度、亮度范围、色彩空间调节设置。</w:t>
            </w:r>
          </w:p>
          <w:p w14:paraId="080C3E0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系统支持手势上滑调出人工智能画质调节模式（AI-PQ），在安卓通道下可根据屏幕内容自动调节画质参数，当屏幕出现人物、建筑、夜景等元素时，自动调整对比度、饱和度、锐利度、色调色相值、高光/阴影。（响应时须提供国家认可的第三方检测机构出具的关于该功能检测报告复印件）</w:t>
            </w:r>
          </w:p>
          <w:p w14:paraId="7ABF11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10、整机视网膜蓝光危害（蓝光加权辐射亮度LB）满足IEC TR 62778:2014蓝光危害RG0级别</w:t>
            </w:r>
          </w:p>
          <w:p w14:paraId="246FD51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全通道支持纸质护眼模式，可实现画面纹理的实时调整；支持纸质纹理：牛皮纸、素描纸、宣纸、水彩纸、水纹纸；支持透明度调节；支持色温调节。（响应时须提供国家认可的第三方检测机构出具的关于该功能检测报告复印件）</w:t>
            </w:r>
          </w:p>
          <w:p w14:paraId="662397F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12、纸质护眼模式下，显示画面各像素点灰度不规则，减少背景干扰。</w:t>
            </w:r>
          </w:p>
          <w:p w14:paraId="2DD29E8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二、整机系统设计</w:t>
            </w:r>
          </w:p>
          <w:p w14:paraId="07110C0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（一）电脑系统</w:t>
            </w:r>
          </w:p>
          <w:p w14:paraId="5AC069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▲1、CPU：搭载Intel  酷睿系列≥ i5 CPU。</w:t>
            </w:r>
          </w:p>
          <w:p w14:paraId="2092A3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▲2、内存：8GB DDR4笔记本内存或以上配置。</w:t>
            </w:r>
          </w:p>
          <w:p w14:paraId="2260DA4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▲3、硬盘：256 GB或以上SSD固态硬盘。</w:t>
            </w:r>
          </w:p>
          <w:p w14:paraId="7F744A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4、采用按压式卡扣，无需工具即可快速拆卸电脑模块。</w:t>
            </w:r>
          </w:p>
          <w:p w14:paraId="759847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5、PC 模块可抽拉式插入整机，可实现无单独接线的拔插。</w:t>
            </w:r>
          </w:p>
          <w:p w14:paraId="2479A0E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6、具有独立非外拓展的视频输出接口：≥1 路 HDMI。</w:t>
            </w:r>
          </w:p>
          <w:p w14:paraId="6AD2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7、具有独立非外拓展的电脑 USB 接口：至少具备 4个USB3.0 接口。</w:t>
            </w:r>
          </w:p>
          <w:p w14:paraId="02B19B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8、具有标准 PC 防盗锁孔，确保电脑模块安全防盗。</w:t>
            </w:r>
          </w:p>
          <w:p w14:paraId="2C2E3DD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9、和整机的连接采用万兆级接口，传输速率≥10Gbps。</w:t>
            </w:r>
          </w:p>
          <w:p w14:paraId="15415F8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10、和整机的连接接口针脚数≤40pin。</w:t>
            </w:r>
          </w:p>
          <w:p w14:paraId="64071EE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（二）触摸系统</w:t>
            </w:r>
          </w:p>
          <w:p w14:paraId="531335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▲1、支持Windows 7、Windows 8、Windows 10、Windows11、Linux、Mac Os、UOS和麒麟系统外置电脑操作系统接入时，无需安装触摸驱动。</w:t>
            </w:r>
          </w:p>
          <w:p w14:paraId="4EC9E56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2、触摸分辨率32768×32768。</w:t>
            </w:r>
          </w:p>
          <w:p w14:paraId="397C9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3、书写触控延迟≤25ms</w:t>
            </w:r>
          </w:p>
          <w:p w14:paraId="0E0BB3C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4、整机触控书写功能集成预测算法，在书写速度≥50cm/s，支持笔迹距离笔的距离小于20mm。</w:t>
            </w:r>
          </w:p>
          <w:p w14:paraId="0A81A07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5、触摸响应≤4ms。</w:t>
            </w:r>
          </w:p>
          <w:p w14:paraId="59D1F72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6、触摸最小识别物≤3mm。</w:t>
            </w:r>
          </w:p>
          <w:p w14:paraId="531E0D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7、整机屏幕触摸有效识别高度不超过3mm，即触摸物体距离玻璃外表面高度不超过3mm时，触摸屏识别为点击操作。</w:t>
            </w:r>
          </w:p>
          <w:p w14:paraId="3368D36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8、整机支持提笔书写，在Windows系统下可实现无需点击任意功能入口，当检测到红外笔笔尖接触屏幕时，自动进入书写模式。</w:t>
            </w:r>
          </w:p>
          <w:p w14:paraId="67D6EE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9、整机支持手笔分离，通过提笔即写唤醒批注功能后，可进行手笔分离功能，使用笔正常书写，使用手指可以操作应用，进行点击操作。</w:t>
            </w:r>
          </w:p>
          <w:p w14:paraId="25688F9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▲10、整机触摸支持动态压力感应，支持无任何电子功能的普通书写笔在整机上书写或点压时，整机能感应压力变化，书写或点压过程笔迹呈现不同粗细。</w:t>
            </w:r>
          </w:p>
          <w:p w14:paraId="7997241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▲11、支持同一支笔，笔头、笔尾书写不同的颜色，且颜色可自定义。（响应时须提供国家认可的第三方检测机构出具的关于该功能检测报告复印件）</w:t>
            </w:r>
          </w:p>
          <w:p w14:paraId="3BDF0BE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▲12、支持智能板擦功能，系统可根据触控物体的形状自动识别出实物板擦，可擦除电子白板中的内容，无需依赖外部电子设备。（响应时须提供国家认可的第三方检测机构出具的关于该功能检测报告复印件）</w:t>
            </w:r>
          </w:p>
          <w:p w14:paraId="2733A90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13、触摸屏具有防遮挡功能，触摸接收器在单点或多点遮挡后仍能正常书写。</w:t>
            </w:r>
          </w:p>
          <w:p w14:paraId="517DDF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▲14、采用红外触控技术，支持Windows系统中进行40点或以上触控，支持在Android系统中进行40点或以上触控。（响应时须提供国家认可的第三方检测机构出具的关于该功能检测报告复印件）</w:t>
            </w:r>
          </w:p>
          <w:p w14:paraId="5A5452B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（三）安卓系统</w:t>
            </w:r>
          </w:p>
          <w:p w14:paraId="5184602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▲1、嵌入式系统版本不低于Android 13，内存≥2GB，存储空间≥8GB。（响应时须提供国家认可的第三方检测机构出具的关于该功能检测报告复印件）</w:t>
            </w:r>
          </w:p>
          <w:p w14:paraId="17EA0F2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2、嵌入式Android操作系统下，白板支持对已经书写的笔迹和形状和颜色进行更换。</w:t>
            </w:r>
          </w:p>
          <w:p w14:paraId="769D7B5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3、在嵌入式系统下使用白板软件时，整机可自行调节屏幕亮度。</w:t>
            </w:r>
          </w:p>
          <w:p w14:paraId="37E2943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嵌入式Android操作系统下，互动白板支持不同背景颜色，同时提供学科背景，如：五线谱、信纸、田字格、英文格、篮球和足球场地平面图。（响应时须提供国家认可的第三方检测机构出具的关于该功能检测报告复印件）</w:t>
            </w:r>
          </w:p>
          <w:p w14:paraId="24B18ED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F3C01D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6、无PC状态下，嵌入式系统内置互动白板支持全局漫游，并能在工具栏中对全局内容进行预览和移动。</w:t>
            </w:r>
          </w:p>
          <w:p w14:paraId="2975E0B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7、无PC状态下，嵌入式Android 操作系统下可使用白板书写、WPS 软件和网页浏览</w:t>
            </w:r>
          </w:p>
          <w:p w14:paraId="35C8665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8、在嵌入式Android操作系统下，能对TV多媒体USB所读取到的文件进行自动归类，可分类查找文档、板书、图片、音视频，检索后可直接在界面中打开。</w:t>
            </w:r>
          </w:p>
          <w:p w14:paraId="2C90D4F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三、整机接口设计与安全设计</w:t>
            </w:r>
          </w:p>
          <w:p w14:paraId="2A4C34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1、侧置输入接口具备2路HDMI、1路RS232、1路USB接口。</w:t>
            </w:r>
          </w:p>
          <w:p w14:paraId="0000479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2、侧置输出接口具备1路音频输出、1路触控USB输出。</w:t>
            </w:r>
          </w:p>
          <w:p w14:paraId="6735276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3、前置输入接口3路USB接口（包含1路Type-C、2路USB）。</w:t>
            </w:r>
          </w:p>
          <w:p w14:paraId="64B53E6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▲4、支持通过Type-C接口U盘进行文件传输，兼容Type-C接口手机充电。</w:t>
            </w:r>
          </w:p>
          <w:p w14:paraId="57D0221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5、整机采用一体设计，外部无任何可见内部功能模块连接线。边角采用弧形设计，表面无尖锐边缘或凸起。</w:t>
            </w:r>
          </w:p>
          <w:p w14:paraId="3F4AADD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6、整机采用全金属外壳设计，边框为金属一体成型。</w:t>
            </w:r>
          </w:p>
          <w:p w14:paraId="2BE6B8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7、整机屏幕边缘采用金属圆角包边防护，整机背板采用金属材质，有效屏蔽内部电路器件辐射；防潮耐盐雾蚀锈，适应多种教学环境。</w:t>
            </w:r>
          </w:p>
          <w:p w14:paraId="2E80FA1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四、整体无线与网络功能设计</w:t>
            </w:r>
          </w:p>
          <w:p w14:paraId="467FCD4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1、整机无需外接无线网卡，在Windows系统下可实现Wi-Fi无线上网连接、AP无线热点发射和BT蓝牙连接功能。</w:t>
            </w:r>
          </w:p>
          <w:p w14:paraId="7207D47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2、Wi-Fi和AP热点工作距离≥12m。</w:t>
            </w:r>
          </w:p>
          <w:p w14:paraId="131F5B4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3、整机支持蓝牙Bluetooth 5.4标准，固件版本号HCI13.0/LMP13.0。</w:t>
            </w:r>
          </w:p>
          <w:p w14:paraId="5A41017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4、整机PC端支持主动发现蓝牙外设从而连接（无需整机进入发现模式），支持连接外部蓝牙音箱播放音频。</w:t>
            </w:r>
          </w:p>
          <w:p w14:paraId="4F271B0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支持发出频率为18kHz-22kHz超声波信号，智能手机通过麦克风接收后，智能手机与整机无需在同一局域网内，可实现配对，一键投屏，用户无需手动输入投屏码或扫码获取投屏码；（响应时须提供国家认可的第三方检测机构出具的关于该功能检测报告复印件）</w:t>
            </w:r>
          </w:p>
          <w:p w14:paraId="7E2306E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0684F58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7、整机内置双WiFi6无线网卡（不接受外接），在Android和Windows系统下，可实现Wi-Fi无线上网连接、AP无线热点发射。</w:t>
            </w:r>
          </w:p>
          <w:p w14:paraId="78FFA61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内置双WiFi6无线网卡（不接受外接），在Android下支持无线设备同时连接数量≥32个，在Windows系统下支持无线设备同时连接≥8个；（响应时须提供国家认可的第三方检测机构出具的关于该功能检测报告复印件）</w:t>
            </w:r>
          </w:p>
          <w:p w14:paraId="4AF5AEC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9、整机无需外接无线网卡，在Windows系统下接入无线网络，切换到嵌入式Android系统下可直接实现无线上网功能，不需手动重复设置。</w:t>
            </w:r>
          </w:p>
          <w:p w14:paraId="0DB1B4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10、Wi-Fi及AP热点支持频段2.4GHz/5GHz </w:t>
            </w:r>
          </w:p>
          <w:p w14:paraId="26AB4F8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▲11、Wi-Fi制式支持IEEE 802.11 a/b/g/n/ac/ax；支持版本Wi-Fi6。</w:t>
            </w:r>
          </w:p>
          <w:p w14:paraId="1392A93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五、侧边栏教学设计要求</w:t>
            </w:r>
          </w:p>
          <w:p w14:paraId="1546606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1、整机全通道侧边栏快捷菜单包含如下小工具：批注、降半屏、截屏、放大镜、倒计时、日历、聚光灯、秒表、冻屏、倒数日、答题、节拍器</w:t>
            </w:r>
          </w:p>
          <w:p w14:paraId="6BE45A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2、整机全通道侧边栏快捷菜单小工具支持自定义，支持设置对应小工具的显示/隐藏。</w:t>
            </w:r>
          </w:p>
          <w:p w14:paraId="19849CA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3、整机全通道侧边栏支持使用批注小工具进行批注讲解，可切换书写笔颜色、截屏保存批注内容、清屏，可根据手与屏幕的接触面积自动调整板擦工具的大小。</w:t>
            </w:r>
          </w:p>
          <w:p w14:paraId="15667E9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▲4、整机全通道侧边栏支持将设备屏幕降低为半屏幕状态，点击上半屏幕可以返回全屏状态。</w:t>
            </w:r>
          </w:p>
          <w:p w14:paraId="5B333D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5、整机全通道侧边栏支持自行选择所需截取屏幕范围，点击截屏即可成功截取屏幕，并自动保存。</w:t>
            </w:r>
          </w:p>
          <w:p w14:paraId="33A0BA9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6、整机全通道侧边栏支持放大选中区域内容，并可支持对未选中区域关灯处理，实现聚光灯效果。</w:t>
            </w:r>
          </w:p>
          <w:p w14:paraId="6A1A38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全通道侧边栏支持倒计时、正计时功能；倒计时，输入某特定时间值，可精确到秒，点击开始进入倒计时；正计时，点击开始计时便自动开始，并实时显示时间。（响应时须提供国家认可的第三方检测机构出具的关于该功能检测报告复印件）</w:t>
            </w:r>
          </w:p>
          <w:p w14:paraId="5DA6085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8、整机全通道侧边栏支持打开日历，查看日期。</w:t>
            </w:r>
          </w:p>
          <w:p w14:paraId="03A259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9、整机全通道侧边栏支持聚光灯，支持聚光灯高亮区域大小调节、区域移动。</w:t>
            </w:r>
          </w:p>
          <w:p w14:paraId="52AFD6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10、整机全通道侧边栏支持冻屏，将屏幕画面进行缩放。</w:t>
            </w:r>
          </w:p>
          <w:p w14:paraId="6FF838E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11、整机安卓和外接通道下侧边栏支持设置倒数日。</w:t>
            </w:r>
          </w:p>
          <w:p w14:paraId="5942E53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响应时须提供国家认可的第三方检测机构出具的关于该功能检测报告复印件）</w:t>
            </w:r>
          </w:p>
          <w:p w14:paraId="2898BC0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安卓和外接通道下侧边栏支持节拍器，支持设置节拍、轻重、节拍播放速度。全通道下可支持通过自定义按键调出该功能。（响应时须提供国家认可的第三方检测机构出具的关于该功能检测报告复印件）</w:t>
            </w:r>
          </w:p>
          <w:p w14:paraId="44C2C2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14、整机支持在设备上通过摄像头获取教室内图像并自动识别图像内所有人员，并随机抽选1人。</w:t>
            </w:r>
          </w:p>
          <w:p w14:paraId="545EABD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▲15、整机支持在设备上通过摄像头获取教室内图像并自动识别图像内所有人员，并自动进行人数统计。</w:t>
            </w:r>
          </w:p>
          <w:p w14:paraId="46B2C7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16、整机支持在设备上，通过侧边栏实现调用windows系统运行、打开文件夹、打开任务管理。</w:t>
            </w:r>
          </w:p>
          <w:p w14:paraId="1FC271B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17、整机Windows通道支持在通过侧边栏调取软键盘。</w:t>
            </w:r>
          </w:p>
          <w:p w14:paraId="1303F5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18、整机Windows通道支持对当前运行中的应用进行窗口最大化、窗口最小化、应用强制关闭。</w:t>
            </w:r>
          </w:p>
          <w:p w14:paraId="1DCECA4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19、整机处于非内置PC通道下，支持通过侧边栏进入PC通道。</w:t>
            </w:r>
          </w:p>
          <w:p w14:paraId="30502BE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20、整机全通道侧边栏快捷菜单支持快捷调节音量、亮度，支持自动亮度模式，支持点击静音按钮静音。</w:t>
            </w:r>
          </w:p>
          <w:p w14:paraId="4AD33CD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21、整机全通道侧边栏快捷菜单中应用软件可以进行切换，无需在已经开启的应用软件全屏模式下退出当前应用再选择更换。</w:t>
            </w:r>
          </w:p>
          <w:p w14:paraId="73BF8E7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22、整机全通道侧边栏支持自定义快捷菜单，支持windows应用固定，可将应用固定后，在侧边栏进行快捷打开。</w:t>
            </w:r>
          </w:p>
          <w:p w14:paraId="487A560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23、整机全通道侧边栏快捷菜单中可实时查看物联设备的连接情况，点击设备图标即可调出中控菜单进行管控。</w:t>
            </w:r>
          </w:p>
          <w:p w14:paraId="6B5FC3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24、整机全通道侧边栏快捷菜单支持简洁模式和常规模式切换。</w:t>
            </w:r>
          </w:p>
          <w:p w14:paraId="0950618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▲25、整机全通道侧边栏快捷菜单简洁模式，可进行打开批注、降半屏、主页的基础操作。</w:t>
            </w:r>
          </w:p>
          <w:p w14:paraId="3685758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六、教学桌面设计</w:t>
            </w:r>
          </w:p>
          <w:p w14:paraId="2BA4E9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1、整机设备开机启动后，自动进入教学桌面，支持账号登录、退出，自动获取个人云端教学课件列表、并可进入全部课件列表。</w:t>
            </w:r>
          </w:p>
          <w:p w14:paraId="534CA97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2、整机设备支持多种身份识别方式，支持通过账号登录、手机扫码登录，并支持账号安全登录检测。</w:t>
            </w:r>
          </w:p>
          <w:p w14:paraId="23A14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3、整机设备支持统一互通的用户身份认证服务，账号登录后，打开教学白板软件教学应用工具时无需再次输入账号密码重复登录。</w:t>
            </w:r>
          </w:p>
          <w:p w14:paraId="40918C5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整机设备教学桌面支持教学白板软件和文件管理软件；教学桌面首页支持自定义桌面应用，支持展示至少8个应用入口，并提供进入本机所有应用的入口。（响应时须提供国家认可的第三方检测机构出具的关于该功能检测报告复印件）</w:t>
            </w:r>
          </w:p>
          <w:p w14:paraId="4D9D023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整机设备可将应用编辑到教学桌面首页，编辑方式支持从教学桌面首页进入编辑，支持在全部应用列表中进入编辑2种方式。教学桌面首页应用支持无需进入应用编辑页面，在首页指定应用上长按进行移除。（响应时须提供国家认可的第三方检测机构出具的关于该功能检测报告复印件）</w:t>
            </w:r>
          </w:p>
          <w:p w14:paraId="5E69202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设备教学桌面支持查看设备盘符，支持本地磁盘和外接U盘、移动硬盘，点击即可打开该磁盘查看磁盘文件。教学桌面支持显示存储空间状态，当存储空间即将满载时候进行红色标记明显提示。（响应时须提供国家认可的第三方检测机构出具的关于该功能检测报告复印件）</w:t>
            </w:r>
          </w:p>
          <w:p w14:paraId="2C28D68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7、整机设备教学桌面支持推荐应用，推荐应用支持移除。</w:t>
            </w:r>
          </w:p>
          <w:p w14:paraId="161839F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8、整机设备教学桌面支持进行应用卸载。</w:t>
            </w:r>
          </w:p>
          <w:p w14:paraId="24401F9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设备教学桌面的教师登录账号后，可自动获取并在桌面显示最近使用的教学课件，点击课件可直接进入授课模式；并支持查看所有个人教学课件资源。（响应时须提供国家认可的第三方检测机构出具的关于该功能检测报告复印件）</w:t>
            </w:r>
          </w:p>
          <w:p w14:paraId="4957F17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10、整机设备教学桌面支持进行壁纸编辑，内置10张以上壁纸，支持自定义壁纸。</w:t>
            </w:r>
          </w:p>
          <w:p w14:paraId="7925B23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32FC1DA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12、整机设备教学桌面U盘文件查看窗口支持使用文件浏览器打开U盘。</w:t>
            </w:r>
          </w:p>
          <w:p w14:paraId="7E0FD2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13、整机设备教学桌面支持进行通道切换，当设备有其他输入源时，可在桌面点击信号源进行输入源切换。</w:t>
            </w:r>
          </w:p>
          <w:p w14:paraId="28A6182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14、整机设备教学桌面支持进行锁屏操作。</w:t>
            </w:r>
          </w:p>
          <w:p w14:paraId="33AE706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15、整机设备教学桌面支持进行重启、关机操作。</w:t>
            </w:r>
          </w:p>
          <w:p w14:paraId="50D6AE5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七、整机硬件设计</w:t>
            </w:r>
          </w:p>
          <w:p w14:paraId="2220BE2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三合一电源按键，同一电源物理按键完成Android系统和Windows系统的开机、节能熄屏、关机操作；关机状态下按按键开机；开机状态下按按键实现节能熄屏/唤醒，长按按键实现关机。（响应时须提供国家认可的第三方检测机构出具的关于该功能检测报告复印件）</w:t>
            </w:r>
          </w:p>
          <w:p w14:paraId="51529E3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2、整机具备至少6个前置按键，可实现开关机、调出中控菜单、音量+/-、护眼、录屏操作。</w:t>
            </w:r>
          </w:p>
          <w:p w14:paraId="5C74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3、支持经典护眼模式，可通过前置面板物理功能按键一键启用经典护眼模式。</w:t>
            </w:r>
          </w:p>
          <w:p w14:paraId="0432568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4、设备支持通过前置面板物理按键一键启动录屏功能，可将屏幕中显示的课件、音频内容与人声同时录制。</w:t>
            </w:r>
          </w:p>
          <w:p w14:paraId="4F796A7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5、前置 USB 接口具备防撞挡板设计，防撞挡板采用转轴式翻转。</w:t>
            </w:r>
          </w:p>
          <w:p w14:paraId="0D2B975C">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0E7E149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整机内置2.2声道扬声器，位于设备上边框，顶置朝前发声，前朝向10W高音扬声器2个，上朝向20W中低音扬声器2个，额定总功率60W。（响应时须提供国家认可的第三方检测机构出具的关于该功能检测报告复印件）</w:t>
            </w:r>
          </w:p>
          <w:p w14:paraId="38D3E908">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▲8、整机可选择高级音效设置，支持在左右声道平衡显示范围中进行更改；中低频段显示调节范围125Hz～1KHz，高频段显示调节范围 2KHz～16KHz，分贝显示-12dB～12dB 调节范围。（响应时须提供国家认可的第三方检测机构出具的关于该功能检测报告复印件）</w:t>
            </w:r>
          </w:p>
          <w:p w14:paraId="46BA7D56">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9、整机内置非独立外扩展的4阵列麦克风，可用于对教室环境音频进行采集，麦克风拾音距离≥12米。</w:t>
            </w:r>
          </w:p>
          <w:p w14:paraId="2BB1107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▲10、整机内置扬声器采用缝隙发声技术，喇叭采用槽式开口设计，不大于5.8mm（响应时须提供国家认可的第三方检测机构出具的关于该功能检测报告复印件）</w:t>
            </w:r>
          </w:p>
          <w:p w14:paraId="7CF7147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11、整机扬声器在100%音量下，可做到1米处声压级≥88db，10米处声压级≥79dB</w:t>
            </w:r>
          </w:p>
          <w:p w14:paraId="0F7FAC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12、内置摄像头、麦克风无需外接线材连接，无任何可见外接线材及模块化拼接痕迹，未占用整机设备端口。</w:t>
            </w:r>
          </w:p>
          <w:p w14:paraId="20E294E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13、支持标准、听力、观影和AI空间感知音效模式，AI空间感知音效模式可通过内置麦克风采集教室物理环境声音，自动生成符合当前教室物理环境的频段、音量、音效。</w:t>
            </w:r>
          </w:p>
          <w:p w14:paraId="0A567F8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14、整机内置摄像头（非外扩），PC通道下支持通过视频展台软件调用摄像头进行二维码扫码识别。</w:t>
            </w:r>
          </w:p>
          <w:p w14:paraId="5FD53A0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15、具备摄像头工作指示灯，摄像头运行时，有指示灯提示。</w:t>
            </w:r>
          </w:p>
          <w:p w14:paraId="5CE651A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▲16、整机上边框内置非独立摄像头，采用一体化集成设计，可拍摄≥1300万像素数的照片，可拍摄输出4K分辨率的视频。</w:t>
            </w:r>
          </w:p>
          <w:p w14:paraId="492F194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17、整机摄像头对角线视场角≥120度</w:t>
            </w:r>
          </w:p>
          <w:p w14:paraId="18A2727A">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18、整机内置非独立的高清摄像头，可用于远程巡课。</w:t>
            </w:r>
          </w:p>
          <w:p w14:paraId="34A1145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19、整机摄像头支持人脸识别、清点人数、随机抽人；识别所有学生，显示标记，然后随机抽选，同时显示标记不少于60人。</w:t>
            </w:r>
          </w:p>
          <w:p w14:paraId="739EC5FB">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▲20、整机支持通过人脸识别进行登录账号。（响应时须提供国家认可的第三方检测机构出具的关于该功能检测报告复印件）</w:t>
            </w:r>
          </w:p>
          <w:p w14:paraId="3C5F016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▲21、整机摄像头支持环境色温判断，根据环境调节合适的显示图像效果。（响应时须提供国家认可的第三方检测机构出具的关于该功能检测报告复印件）</w:t>
            </w:r>
          </w:p>
          <w:p w14:paraId="2D8F804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八</w:t>
            </w:r>
            <w:r>
              <w:rPr>
                <w:rFonts w:hint="eastAsia" w:ascii="宋体" w:hAnsi="宋体" w:eastAsia="宋体" w:cs="宋体"/>
                <w:color w:val="000000"/>
                <w:sz w:val="18"/>
                <w:szCs w:val="18"/>
                <w:lang w:val="zh-CN"/>
              </w:rPr>
              <w:t>、智慧互动教学软件</w:t>
            </w:r>
          </w:p>
          <w:p w14:paraId="51892E72">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1、统计考勤：互动反馈系统支持无感考勤功能，学生连接成功后名字可显示在签到列表上，签到列表实时统计已签到人数，并查看未到的人员。（响应时须提供国家认可的第三方检测机构所出具的关于该功能的检测报告） </w:t>
            </w:r>
          </w:p>
          <w:p w14:paraId="677008F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2、班级创建：支持老师主动创建班级，创建成功后，每次登录教师端即可直接进入班级列表，选择班级进入课堂。 </w:t>
            </w:r>
          </w:p>
          <w:p w14:paraId="351801A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3、互动反馈系统：具备公网互动反馈功能，可将所有学生端和教师端连接在一起构建成为一套互动反馈系统，在系统中可以单选/多选/判断等答题互动，同时支持文件下发、批注下发功能。（响应时须提供国家认可的第三方检测机构所出具的关于该功能的检测报告）</w:t>
            </w:r>
          </w:p>
          <w:p w14:paraId="4E644B5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4、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14:paraId="0986D1C0">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5、抢答抽选：互动反馈系统支持抢答、抽选功能，活跃课堂氛围。</w:t>
            </w:r>
          </w:p>
          <w:p w14:paraId="34C8F37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6、观点云词：互动反馈系统支持主观观点收集功能，支持学生们自主提交不多于200字的观点评论，并自动生成班级关键词云，点击关键词可查看对应学生名单和具体评论信息。</w:t>
            </w:r>
          </w:p>
          <w:p w14:paraId="59008CFE">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7、课堂报告；互动反馈系统支持一键生成课堂互动报告，包含签到人数，考勤情况，互动次数，学生参与度，支持查看题目详情何答题结果。（响应时须提供国家认可的第三方检测机构所出具的关于该功能的检测报告）</w:t>
            </w:r>
          </w:p>
          <w:p w14:paraId="7AA9495D">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8、资料分发：支持教师下载教室空间的文档格式的资料给全员和小组端，支持的文件包含但不局限于以下格式：音视频格式，文档格式，图片格式。</w:t>
            </w:r>
          </w:p>
          <w:p w14:paraId="38294CF9">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 xml:space="preserve">9、课堂答疑：教师端在连接状态下可实时接收到来自学生的提问，提问内容可根据老师操作自动判断为已读或者未读，并且支持问题放大全屏查看。 </w:t>
            </w:r>
          </w:p>
          <w:p w14:paraId="769980CF">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10、批注分发：教师端批注功能支持在课中任意时刻对教师端内容进行批注，并且支持批注内容一键保存，自动上传到教师空间，同时发送到全员学生端。（响应时须提供国家认可的第三方检测机构所出具的关于该功能的检测报告）</w:t>
            </w:r>
          </w:p>
          <w:p w14:paraId="42696C85">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▲11、授课小工具：教师播放课件时，提供授课小工具，包括画笔、橡皮擦、板中板和分享批注功能等（响应时须提供国家认可的第三方检测机构所出具的关于该功能的检测报告）</w:t>
            </w:r>
          </w:p>
          <w:p w14:paraId="4F4EA5A3">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12、无线传屏：教师端工具栏支持无线传屏，点击开启无线传屏则打开传屏码，老师自带笔记本在互动教学软件输入传屏码即可进行无线传屏。（响应时须提供国家认可的第三方检测机构所出具的关于该功能的检测报告）</w:t>
            </w:r>
          </w:p>
          <w:p w14:paraId="1DBCDC11">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13、课堂动态：支持在课堂中记录课堂动态，包括老师下发的文件，老师课堂中的板书，课堂互动结果记录，课堂提问多种类型的记录。（响应时须提供国家认可的第三方检测机构所出具的关于该功能的检测报告）</w:t>
            </w:r>
          </w:p>
          <w:p w14:paraId="7BDD7CF4">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14、同步课件：当老师在全屏播放课件时，学生端也会同步进行课件播放，老师进行PPT翻页操作时，学生端会同步翻页，保证课堂课件进度同步展示。（响应时须提供国家认可的第三方检测机构所出具的关于该功能的检测报告）</w:t>
            </w:r>
          </w:p>
          <w:p w14:paraId="653B5ED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en-US" w:eastAsia="zh-CN"/>
              </w:rPr>
              <w:t>九</w:t>
            </w:r>
            <w:r>
              <w:rPr>
                <w:rFonts w:hint="eastAsia" w:ascii="宋体" w:hAnsi="宋体" w:eastAsia="宋体" w:cs="宋体"/>
                <w:color w:val="000000"/>
                <w:sz w:val="18"/>
                <w:szCs w:val="18"/>
                <w:lang w:val="zh-CN"/>
              </w:rPr>
              <w:t>、其他要求</w:t>
            </w:r>
          </w:p>
          <w:p w14:paraId="7E074E27">
            <w:pPr>
              <w:rPr>
                <w:rFonts w:hint="eastAsia" w:ascii="宋体" w:hAnsi="宋体" w:eastAsia="宋体" w:cs="宋体"/>
                <w:color w:val="000000"/>
                <w:sz w:val="18"/>
                <w:szCs w:val="18"/>
                <w:lang w:val="zh-CN"/>
              </w:rPr>
            </w:pPr>
            <w:r>
              <w:rPr>
                <w:rFonts w:hint="eastAsia" w:ascii="宋体" w:hAnsi="宋体" w:eastAsia="宋体" w:cs="宋体"/>
                <w:color w:val="000000"/>
                <w:sz w:val="18"/>
                <w:szCs w:val="18"/>
                <w:lang w:val="zh-CN"/>
              </w:rPr>
              <w:t>1、为确保货物质量及原厂品质，中标供应商在正式供货时必须提供生产厂家针对此项目的售后服务保证原件、供货证明原件，否则采购人将不予验收通过。</w:t>
            </w:r>
          </w:p>
          <w:p w14:paraId="23C4CB5A">
            <w:pPr>
              <w:rPr>
                <w:rFonts w:hint="eastAsia" w:ascii="宋体" w:hAnsi="宋体" w:cs="宋体"/>
                <w:kern w:val="0"/>
                <w:sz w:val="18"/>
                <w:szCs w:val="18"/>
                <w:lang w:bidi="zh-CN"/>
              </w:rPr>
            </w:pPr>
            <w:r>
              <w:rPr>
                <w:rFonts w:hint="eastAsia" w:ascii="宋体" w:hAnsi="宋体" w:eastAsia="宋体" w:cs="宋体"/>
                <w:color w:val="000000"/>
                <w:sz w:val="18"/>
                <w:szCs w:val="18"/>
                <w:lang w:val="zh-CN"/>
              </w:rPr>
              <w:t>2、打“▲”号条款为重要技术参数，供应商必须满足否则响应无效。成交公示期内若有其他供应商质疑，采购人有权要求成交供应商提供与谈判文件技术参数一致的全部设备一套，以便进行整体性能的核对，协助质疑答复。如出现所提供的样品不符招标要求或无法提供所有样品的视为虚假应标处理并追究法律责任。</w:t>
            </w:r>
          </w:p>
        </w:tc>
        <w:tc>
          <w:tcPr>
            <w:tcW w:w="727" w:type="dxa"/>
            <w:tcBorders>
              <w:top w:val="single" w:color="auto" w:sz="4" w:space="0"/>
              <w:left w:val="nil"/>
              <w:bottom w:val="single" w:color="auto" w:sz="4" w:space="0"/>
              <w:right w:val="single" w:color="auto" w:sz="4" w:space="0"/>
            </w:tcBorders>
            <w:vAlign w:val="center"/>
          </w:tcPr>
          <w:p w14:paraId="5963FEC7">
            <w:pPr>
              <w:widowControl/>
              <w:jc w:val="center"/>
              <w:rPr>
                <w:rFonts w:hint="eastAsia" w:ascii="宋体" w:hAnsi="宋体" w:eastAsia="宋体" w:cs="宋体"/>
                <w:color w:val="000000"/>
                <w:kern w:val="0"/>
                <w:szCs w:val="21"/>
                <w:lang w:val="en-US" w:eastAsia="zh-CN" w:bidi="zh-CN"/>
              </w:rPr>
            </w:pPr>
            <w:r>
              <w:rPr>
                <w:rFonts w:hint="eastAsia" w:ascii="宋体" w:hAnsi="宋体" w:cs="宋体"/>
                <w:color w:val="000000"/>
                <w:kern w:val="0"/>
                <w:szCs w:val="21"/>
                <w:lang w:val="en-US" w:eastAsia="zh-CN" w:bidi="zh-CN"/>
              </w:rPr>
              <w:t>台</w:t>
            </w:r>
          </w:p>
        </w:tc>
        <w:tc>
          <w:tcPr>
            <w:tcW w:w="987" w:type="dxa"/>
            <w:tcBorders>
              <w:top w:val="single" w:color="auto" w:sz="4" w:space="0"/>
              <w:left w:val="nil"/>
              <w:bottom w:val="single" w:color="auto" w:sz="4" w:space="0"/>
              <w:right w:val="single" w:color="auto" w:sz="4" w:space="0"/>
            </w:tcBorders>
            <w:vAlign w:val="center"/>
          </w:tcPr>
          <w:p w14:paraId="56F3D63E">
            <w:pPr>
              <w:widowControl/>
              <w:jc w:val="center"/>
              <w:rPr>
                <w:rFonts w:ascii="宋体" w:hAnsi="宋体" w:cs="宋体"/>
                <w:color w:val="000000"/>
                <w:kern w:val="0"/>
                <w:szCs w:val="21"/>
                <w:highlight w:val="yellow"/>
                <w:lang w:bidi="zh-CN"/>
              </w:rPr>
            </w:pPr>
            <w:r>
              <w:rPr>
                <w:rFonts w:hint="eastAsia" w:ascii="宋体" w:hAnsi="宋体" w:cs="宋体"/>
                <w:color w:val="000000"/>
                <w:kern w:val="0"/>
                <w:szCs w:val="21"/>
                <w:lang w:val="en-US" w:bidi="zh-CN"/>
              </w:rPr>
              <w:t>1</w:t>
            </w:r>
          </w:p>
        </w:tc>
      </w:tr>
      <w:tr w14:paraId="373CCE59">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ED04AA">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C78B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无线传屏器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052ADE">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绿联、优超者、MAXHUB</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314433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1.支持50米点对点1080P/60Hz传输，三芯四重防护降低延迟;</w:t>
            </w:r>
          </w:p>
          <w:p w14:paraId="7DEBC47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2.HDMI/VGA双接口兼容新旧设备;</w:t>
            </w:r>
          </w:p>
          <w:p w14:paraId="4295CE5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3.USB+Type-C即插即用适配会议教学场景。</w:t>
            </w:r>
          </w:p>
        </w:tc>
        <w:tc>
          <w:tcPr>
            <w:tcW w:w="727" w:type="dxa"/>
            <w:tcBorders>
              <w:top w:val="single" w:color="auto" w:sz="4" w:space="0"/>
              <w:left w:val="nil"/>
              <w:bottom w:val="single" w:color="auto" w:sz="4" w:space="0"/>
              <w:right w:val="single" w:color="auto" w:sz="4" w:space="0"/>
            </w:tcBorders>
            <w:vAlign w:val="center"/>
          </w:tcPr>
          <w:p w14:paraId="1B41959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套</w:t>
            </w:r>
          </w:p>
        </w:tc>
        <w:tc>
          <w:tcPr>
            <w:tcW w:w="987" w:type="dxa"/>
            <w:tcBorders>
              <w:top w:val="single" w:color="auto" w:sz="4" w:space="0"/>
              <w:left w:val="nil"/>
              <w:bottom w:val="single" w:color="auto" w:sz="4" w:space="0"/>
              <w:right w:val="single" w:color="auto" w:sz="4" w:space="0"/>
            </w:tcBorders>
            <w:vAlign w:val="center"/>
          </w:tcPr>
          <w:p w14:paraId="74EA6C8B">
            <w:pPr>
              <w:widowControl/>
              <w:jc w:val="center"/>
              <w:rPr>
                <w:rFonts w:ascii="宋体" w:hAnsi="宋体" w:cs="宋体"/>
                <w:color w:val="000000"/>
                <w:kern w:val="0"/>
                <w:szCs w:val="21"/>
                <w:lang w:bidi="zh-CN"/>
              </w:rPr>
            </w:pPr>
            <w:r>
              <w:rPr>
                <w:rFonts w:hint="eastAsia" w:ascii="宋体" w:hAnsi="宋体" w:cs="宋体"/>
                <w:color w:val="000000"/>
                <w:kern w:val="0"/>
                <w:szCs w:val="21"/>
                <w:lang w:val="en-US" w:bidi="zh-CN"/>
              </w:rPr>
              <w:t>1</w:t>
            </w:r>
          </w:p>
        </w:tc>
      </w:tr>
      <w:tr w14:paraId="1C649AAE">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6A6567">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DC3A8A">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会议桌</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F289CF">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31AD4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1.面板采用25mm厚优质颗粒板双面二聚氰饰面，背板采用15mm厚优质颗粒板双面二聚氰饰面，封边采用1.0mm厚3:1配料PyC经模具生产封边，其经久耐用，不易脱落;</w:t>
            </w:r>
          </w:p>
          <w:p w14:paraId="14178515">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2.侧翻桌钢架两边脚采用优质高精度冷轧钢经及塑胶配件而成，前脚长为640mm，后脚长495mm 宽为50mm，厚平均为1.3mm牢固耐用，美观大方，抗变型，脚管采用优质钢管(50x25x1.3mm)(50X25XT1.3mm),表面采用防锈静电喷涂处理;</w:t>
            </w:r>
          </w:p>
          <w:p w14:paraId="52B91A1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3.两脚管距成度角65°，主横梁采用优质钢管管经夹具焊接，表面再经防锈静电喷涂处理，实用牢固，承受力大;</w:t>
            </w:r>
          </w:p>
          <w:p w14:paraId="45CE348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4.二层书网采用优质钢板(厚度为0.6mm)经模具注塑成型与圆管组成表面采用防锈静电喷涂处理，外观设计采用人体工程理念及个性化需求，整件产品拼接好，接缝齐整，整体颜色基本相符，过渡自然;</w:t>
            </w:r>
          </w:p>
          <w:p w14:paraId="4DF2EB0C">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5.台架有拉杆拆桑装需，脚轮采用固定式脚垫，造型美观大方，有现代特色;</w:t>
            </w:r>
          </w:p>
          <w:p w14:paraId="12DF4C3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6.尺寸：1200W400D750H。</w:t>
            </w:r>
          </w:p>
        </w:tc>
        <w:tc>
          <w:tcPr>
            <w:tcW w:w="727" w:type="dxa"/>
            <w:tcBorders>
              <w:top w:val="single" w:color="auto" w:sz="4" w:space="0"/>
              <w:left w:val="nil"/>
              <w:bottom w:val="single" w:color="auto" w:sz="4" w:space="0"/>
              <w:right w:val="single" w:color="auto" w:sz="4" w:space="0"/>
            </w:tcBorders>
            <w:vAlign w:val="center"/>
          </w:tcPr>
          <w:p w14:paraId="36356E0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69BDCDBD">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12</w:t>
            </w:r>
          </w:p>
        </w:tc>
      </w:tr>
      <w:tr w14:paraId="52FF509B">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2159F4">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265184">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会议椅</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ACC3E1">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2E0374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1.椅背：背框PP+玻纤材质，高弹性透气加密网布，提供背部舒适支撑，拉力符合BIFMA测试标准。</w:t>
            </w:r>
          </w:p>
          <w:p w14:paraId="27AC651B">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2.椅座：采用3CM高弹力舒适海绵，高弹力优质透气座布，座板为定制多层弯曲板，配PP工程塑料防尘底壳，座垫可翻转。</w:t>
            </w:r>
          </w:p>
          <w:p w14:paraId="6DC90EEE">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3.扶手：优质 PP+玻纤材质，为可滑动款式。</w:t>
            </w:r>
          </w:p>
          <w:p w14:paraId="7B2814CF">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4.椅架：32.5*20.5*T1.5mm优质钢管脚架，横梁1.8厚表面喷涂烤漆工艺，尼龙材质防滑脚垫。                                                                                                                                         5.写字板：采用优质PP+玻纤加厚板面，采用实心铁支架配连接件铝合金压铸，板面可以旋转收放使用。</w:t>
            </w:r>
          </w:p>
          <w:p w14:paraId="5F2AEA98">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6.功能：整椅可折叠收纳，节省摆放空间。</w:t>
            </w:r>
          </w:p>
        </w:tc>
        <w:tc>
          <w:tcPr>
            <w:tcW w:w="727" w:type="dxa"/>
            <w:tcBorders>
              <w:top w:val="single" w:color="auto" w:sz="4" w:space="0"/>
              <w:left w:val="nil"/>
              <w:bottom w:val="single" w:color="auto" w:sz="4" w:space="0"/>
              <w:right w:val="single" w:color="auto" w:sz="4" w:space="0"/>
            </w:tcBorders>
            <w:vAlign w:val="center"/>
          </w:tcPr>
          <w:p w14:paraId="6759BBD0">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59CCC92B">
            <w:pPr>
              <w:widowControl/>
              <w:jc w:val="center"/>
              <w:rPr>
                <w:rFonts w:ascii="宋体" w:hAnsi="宋体" w:cs="宋体"/>
                <w:color w:val="000000"/>
                <w:kern w:val="0"/>
                <w:szCs w:val="21"/>
                <w:lang w:val="en-US" w:bidi="zh-CN"/>
              </w:rPr>
            </w:pPr>
            <w:r>
              <w:rPr>
                <w:rFonts w:hint="eastAsia" w:ascii="宋体" w:hAnsi="宋体" w:cs="宋体"/>
                <w:color w:val="000000"/>
                <w:kern w:val="0"/>
                <w:szCs w:val="21"/>
                <w:lang w:val="en-US" w:bidi="zh-CN"/>
              </w:rPr>
              <w:t>24</w:t>
            </w:r>
          </w:p>
        </w:tc>
      </w:tr>
      <w:tr w14:paraId="4D9C928D">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F9C60">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EBE67E">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发言台</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15CF93">
            <w:pPr>
              <w:widowControl/>
              <w:jc w:val="center"/>
              <w:rPr>
                <w:rFonts w:hint="eastAsia" w:ascii="宋体" w:hAnsi="宋体" w:cs="宋体"/>
                <w:color w:val="000000"/>
                <w:kern w:val="0"/>
                <w:szCs w:val="21"/>
                <w:lang w:bidi="zh-CN"/>
              </w:rPr>
            </w:pPr>
            <w:r>
              <w:rPr>
                <w:rFonts w:hint="eastAsia" w:ascii="宋体" w:hAnsi="宋体"/>
                <w:color w:val="000000"/>
                <w:sz w:val="21"/>
                <w:szCs w:val="24"/>
                <w:lang w:val="zh-CN"/>
              </w:rPr>
              <w:t>轩鑫、常捷、恒巨</w:t>
            </w:r>
            <w:r>
              <w:rPr>
                <w:rFonts w:hint="eastAsia" w:ascii="宋体" w:hAnsi="宋体" w:cs="宋体"/>
                <w:color w:val="000000"/>
                <w:kern w:val="0"/>
                <w:szCs w:val="21"/>
                <w:lang w:bidi="zh-CN"/>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D4894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1.面板采用25mm厚优质密度板双面三聚氰胺饰面，其余板材采用15mm厚优质密度板双面三聚氰胺饰面;</w:t>
            </w:r>
          </w:p>
          <w:p w14:paraId="2F075C92">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2.封边采用1.5mm厚3:1配料PVC经模具生产封边,其余采用1.0mm厚3:1配料PVC封边,所有封边经高温全自动机器封边，经久耐用，不易脱落，优质五金配件;</w:t>
            </w:r>
          </w:p>
          <w:p w14:paraId="0EE55DE9">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3.产品尺寸：600W450D1100H。</w:t>
            </w:r>
          </w:p>
        </w:tc>
        <w:tc>
          <w:tcPr>
            <w:tcW w:w="727" w:type="dxa"/>
            <w:tcBorders>
              <w:top w:val="single" w:color="auto" w:sz="4" w:space="0"/>
              <w:left w:val="nil"/>
              <w:bottom w:val="single" w:color="auto" w:sz="4" w:space="0"/>
              <w:right w:val="single" w:color="auto" w:sz="4" w:space="0"/>
            </w:tcBorders>
            <w:vAlign w:val="center"/>
          </w:tcPr>
          <w:p w14:paraId="22891117">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张</w:t>
            </w:r>
          </w:p>
        </w:tc>
        <w:tc>
          <w:tcPr>
            <w:tcW w:w="987" w:type="dxa"/>
            <w:tcBorders>
              <w:top w:val="single" w:color="auto" w:sz="4" w:space="0"/>
              <w:left w:val="nil"/>
              <w:bottom w:val="single" w:color="auto" w:sz="4" w:space="0"/>
              <w:right w:val="single" w:color="auto" w:sz="4" w:space="0"/>
            </w:tcBorders>
            <w:vAlign w:val="center"/>
          </w:tcPr>
          <w:p w14:paraId="26391DCF">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01E9015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FB069F">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332C5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窗帘</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14383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864CD1">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1.颜色材质均有多种可选；</w:t>
            </w:r>
          </w:p>
          <w:p w14:paraId="1E687B8D">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2.根据现场尺寸定制宽度与长度；</w:t>
            </w:r>
          </w:p>
          <w:p w14:paraId="3DB6F796">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3.达到遮光与装饰二合一效果；</w:t>
            </w:r>
          </w:p>
          <w:p w14:paraId="790C7DC0">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4.优质滑轨安装，推拉顺畅无卡顿；</w:t>
            </w:r>
          </w:p>
          <w:p w14:paraId="72AD02AA">
            <w:pPr>
              <w:widowControl/>
              <w:jc w:val="left"/>
              <w:rPr>
                <w:rFonts w:hint="eastAsia" w:ascii="宋体" w:hAnsi="宋体" w:cs="宋体"/>
                <w:kern w:val="0"/>
                <w:sz w:val="18"/>
                <w:szCs w:val="18"/>
                <w:lang w:bidi="zh-CN"/>
              </w:rPr>
            </w:pPr>
            <w:r>
              <w:rPr>
                <w:rFonts w:hint="eastAsia" w:ascii="宋体" w:hAnsi="宋体" w:cs="宋体"/>
                <w:kern w:val="0"/>
                <w:sz w:val="18"/>
                <w:szCs w:val="18"/>
                <w:lang w:bidi="zh-CN"/>
              </w:rPr>
              <w:t>5.拆除旧窗帘。</w:t>
            </w:r>
          </w:p>
        </w:tc>
        <w:tc>
          <w:tcPr>
            <w:tcW w:w="727" w:type="dxa"/>
            <w:tcBorders>
              <w:top w:val="single" w:color="auto" w:sz="4" w:space="0"/>
              <w:left w:val="nil"/>
              <w:bottom w:val="single" w:color="auto" w:sz="4" w:space="0"/>
              <w:right w:val="single" w:color="auto" w:sz="4" w:space="0"/>
            </w:tcBorders>
            <w:vAlign w:val="center"/>
          </w:tcPr>
          <w:p w14:paraId="2E3F6ADF">
            <w:pPr>
              <w:widowControl/>
              <w:jc w:val="center"/>
              <w:rPr>
                <w:rFonts w:hint="default" w:ascii="宋体" w:hAnsi="宋体" w:cs="宋体"/>
                <w:color w:val="000000"/>
                <w:kern w:val="0"/>
                <w:szCs w:val="21"/>
                <w:lang w:val="en-US" w:bidi="zh-CN"/>
              </w:rPr>
            </w:pPr>
            <w:r>
              <w:rPr>
                <w:rFonts w:hint="eastAsia" w:ascii="宋体" w:hAnsi="宋体" w:cs="宋体"/>
                <w:color w:val="000000"/>
                <w:kern w:val="0"/>
                <w:szCs w:val="21"/>
                <w:lang w:val="en-US" w:bidi="zh-CN"/>
              </w:rPr>
              <w:t>m</w:t>
            </w:r>
          </w:p>
        </w:tc>
        <w:tc>
          <w:tcPr>
            <w:tcW w:w="987" w:type="dxa"/>
            <w:tcBorders>
              <w:top w:val="single" w:color="auto" w:sz="4" w:space="0"/>
              <w:left w:val="nil"/>
              <w:bottom w:val="single" w:color="auto" w:sz="4" w:space="0"/>
              <w:right w:val="single" w:color="auto" w:sz="4" w:space="0"/>
            </w:tcBorders>
            <w:vAlign w:val="center"/>
          </w:tcPr>
          <w:p w14:paraId="0A8E1BBB">
            <w:pPr>
              <w:widowControl/>
              <w:jc w:val="center"/>
              <w:rPr>
                <w:rFonts w:hint="default" w:ascii="宋体" w:hAnsi="宋体" w:cs="宋体"/>
                <w:color w:val="000000"/>
                <w:kern w:val="0"/>
                <w:szCs w:val="21"/>
                <w:lang w:val="en-US" w:bidi="zh-CN"/>
              </w:rPr>
            </w:pPr>
            <w:r>
              <w:rPr>
                <w:rFonts w:hint="eastAsia" w:ascii="宋体" w:hAnsi="宋体" w:cs="宋体"/>
                <w:color w:val="000000"/>
                <w:kern w:val="0"/>
                <w:szCs w:val="21"/>
                <w:lang w:val="en-US" w:bidi="zh-CN"/>
              </w:rPr>
              <w:t>26</w:t>
            </w:r>
          </w:p>
        </w:tc>
      </w:tr>
      <w:tr w14:paraId="13E86038">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F0B18">
            <w:pPr>
              <w:pStyle w:val="9"/>
              <w:widowControl/>
              <w:numPr>
                <w:ilvl w:val="0"/>
                <w:numId w:val="2"/>
              </w:numPr>
              <w:ind w:firstLineChars="0"/>
              <w:jc w:val="center"/>
              <w:rPr>
                <w:rFonts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13E5B6">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移动支架</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E386FE">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A49708">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1.挂架材质：冷轧钢板；</w:t>
            </w:r>
          </w:p>
          <w:p w14:paraId="7FBF8D33">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2.适用一体机尺寸：75英寸-86英寸；</w:t>
            </w:r>
          </w:p>
          <w:p w14:paraId="3A5A383F">
            <w:pPr>
              <w:spacing w:line="240" w:lineRule="atLeast"/>
              <w:rPr>
                <w:rFonts w:hint="eastAsia" w:ascii="宋体" w:hAnsi="宋体"/>
                <w:color w:val="000000"/>
                <w:sz w:val="18"/>
                <w:szCs w:val="18"/>
                <w:lang w:val="zh-CN"/>
              </w:rPr>
            </w:pPr>
            <w:r>
              <w:rPr>
                <w:rFonts w:hint="eastAsia" w:ascii="宋体" w:hAnsi="宋体"/>
                <w:color w:val="000000"/>
                <w:sz w:val="18"/>
                <w:szCs w:val="18"/>
                <w:lang w:val="zh-CN"/>
              </w:rPr>
              <w:t>3.配置置物托盘，一体式底座；</w:t>
            </w:r>
          </w:p>
          <w:p w14:paraId="7B3C60D7">
            <w:pPr>
              <w:widowControl/>
              <w:jc w:val="left"/>
              <w:rPr>
                <w:rFonts w:hint="eastAsia" w:ascii="宋体" w:hAnsi="宋体" w:cs="宋体"/>
                <w:kern w:val="0"/>
                <w:sz w:val="18"/>
                <w:szCs w:val="18"/>
                <w:lang w:bidi="zh-CN"/>
              </w:rPr>
            </w:pPr>
            <w:r>
              <w:rPr>
                <w:rFonts w:hint="eastAsia" w:ascii="宋体" w:hAnsi="宋体"/>
                <w:color w:val="000000"/>
                <w:sz w:val="18"/>
                <w:szCs w:val="18"/>
                <w:lang w:val="zh-CN"/>
              </w:rPr>
              <w:t>4.带万向橡胶轮，耐磨减震，脚踩刹车，方便移动与固定。</w:t>
            </w:r>
          </w:p>
        </w:tc>
        <w:tc>
          <w:tcPr>
            <w:tcW w:w="727" w:type="dxa"/>
            <w:tcBorders>
              <w:top w:val="single" w:color="auto" w:sz="4" w:space="0"/>
              <w:left w:val="nil"/>
              <w:bottom w:val="single" w:color="auto" w:sz="4" w:space="0"/>
              <w:right w:val="single" w:color="auto" w:sz="4" w:space="0"/>
            </w:tcBorders>
            <w:vAlign w:val="center"/>
          </w:tcPr>
          <w:p w14:paraId="2D20DB6C">
            <w:pPr>
              <w:widowControl/>
              <w:jc w:val="center"/>
              <w:rPr>
                <w:rFonts w:ascii="宋体" w:hAnsi="宋体" w:cs="宋体"/>
                <w:color w:val="000000"/>
                <w:kern w:val="0"/>
                <w:szCs w:val="21"/>
                <w:lang w:val="en-US" w:bidi="zh-CN"/>
              </w:rPr>
            </w:pPr>
            <w:r>
              <w:rPr>
                <w:rFonts w:hint="eastAsia" w:ascii="宋体" w:hAnsi="宋体" w:cs="宋体"/>
                <w:color w:val="000000"/>
                <w:kern w:val="0"/>
                <w:szCs w:val="21"/>
                <w:lang w:bidi="zh-CN"/>
              </w:rPr>
              <w:t>套</w:t>
            </w:r>
          </w:p>
        </w:tc>
        <w:tc>
          <w:tcPr>
            <w:tcW w:w="987" w:type="dxa"/>
            <w:tcBorders>
              <w:top w:val="single" w:color="auto" w:sz="4" w:space="0"/>
              <w:left w:val="nil"/>
              <w:bottom w:val="single" w:color="auto" w:sz="4" w:space="0"/>
              <w:right w:val="single" w:color="auto" w:sz="4" w:space="0"/>
            </w:tcBorders>
            <w:vAlign w:val="center"/>
          </w:tcPr>
          <w:p w14:paraId="78C3AADC">
            <w:pPr>
              <w:widowControl/>
              <w:jc w:val="center"/>
              <w:rPr>
                <w:rFonts w:ascii="宋体" w:hAnsi="宋体" w:cs="宋体"/>
                <w:color w:val="000000"/>
                <w:kern w:val="0"/>
                <w:szCs w:val="21"/>
                <w:lang w:bidi="zh-CN"/>
              </w:rPr>
            </w:pPr>
            <w:r>
              <w:rPr>
                <w:rFonts w:hint="eastAsia" w:ascii="宋体" w:hAnsi="宋体" w:cs="宋体"/>
                <w:color w:val="000000"/>
                <w:kern w:val="0"/>
                <w:szCs w:val="21"/>
                <w:lang w:bidi="zh-CN"/>
              </w:rPr>
              <w:t>1</w:t>
            </w:r>
          </w:p>
        </w:tc>
      </w:tr>
      <w:tr w14:paraId="2DCEF4C4">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u w:val="single"/>
                <w:lang w:val="en-US" w:eastAsia="zh-CN"/>
              </w:rPr>
              <w:t xml:space="preserve"> </w:t>
            </w:r>
            <w:r>
              <w:rPr>
                <w:rFonts w:hint="eastAsia" w:ascii="宋体" w:hAnsi="宋体" w:cs="宋体"/>
                <w:b/>
                <w:szCs w:val="21"/>
                <w:highlight w:val="none"/>
                <w:u w:val="single"/>
              </w:rPr>
              <w:t xml:space="preserve">1 </w:t>
            </w:r>
            <w:r>
              <w:rPr>
                <w:rFonts w:hint="eastAsia" w:ascii="宋体" w:hAnsi="宋体" w:cs="宋体"/>
                <w:b/>
                <w:szCs w:val="21"/>
                <w:highlight w:val="none"/>
              </w:rPr>
              <w:t>年。</w:t>
            </w:r>
            <w:r>
              <w:rPr>
                <w:rFonts w:hint="eastAsia" w:ascii="宋体" w:hAnsi="宋体" w:cs="宋体"/>
                <w:szCs w:val="21"/>
                <w:highlight w:val="none"/>
              </w:rPr>
              <w:t>（分项货物服务要求中有特别注明的，按特别注明的执行）</w:t>
            </w:r>
          </w:p>
          <w:p w14:paraId="3F7A4CB0">
            <w:pPr>
              <w:rPr>
                <w:rFonts w:hint="eastAsia"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。质保期自交付验收合格之日起计算，质保期内提供上门维修；质保期结束后，提供终身维护，并优惠提供相关零配件。</w:t>
            </w:r>
          </w:p>
        </w:tc>
      </w:tr>
      <w:tr w14:paraId="0A4068C3">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成交人</w:t>
            </w:r>
            <w:r>
              <w:rPr>
                <w:rFonts w:ascii="宋体" w:hAnsi="宋体" w:cs="宋体"/>
                <w:szCs w:val="21"/>
                <w:highlight w:val="none"/>
              </w:rPr>
              <w:t>交付的所有</w:t>
            </w:r>
            <w:r>
              <w:rPr>
                <w:rFonts w:ascii="宋体" w:hAnsi="宋体" w:cs="宋体"/>
                <w:b/>
                <w:szCs w:val="21"/>
                <w:highlight w:val="none"/>
              </w:rPr>
              <w:t>设备</w:t>
            </w:r>
            <w:r>
              <w:rPr>
                <w:rFonts w:ascii="宋体" w:hAnsi="宋体" w:cs="宋体"/>
                <w:szCs w:val="21"/>
                <w:highlight w:val="none"/>
              </w:rPr>
              <w:t>必须是签订合同之日</w:t>
            </w:r>
            <w:r>
              <w:rPr>
                <w:rFonts w:hint="eastAsia" w:ascii="宋体" w:hAnsi="宋体" w:cs="宋体"/>
                <w:szCs w:val="21"/>
                <w:highlight w:val="none"/>
                <w:lang w:eastAsia="zh-CN"/>
              </w:rPr>
              <w:t>近</w:t>
            </w:r>
            <w:r>
              <w:rPr>
                <w:rFonts w:hint="eastAsia" w:ascii="宋体" w:hAnsi="宋体" w:cs="宋体"/>
                <w:b/>
                <w:szCs w:val="21"/>
                <w:highlight w:val="none"/>
                <w:u w:val="single"/>
              </w:rPr>
              <w:t xml:space="preserve">  1  </w:t>
            </w:r>
            <w:r>
              <w:rPr>
                <w:rFonts w:ascii="宋体" w:hAnsi="宋体" w:cs="宋体"/>
                <w:b/>
                <w:szCs w:val="21"/>
                <w:highlight w:val="none"/>
              </w:rPr>
              <w:t>年</w:t>
            </w:r>
            <w:r>
              <w:rPr>
                <w:rFonts w:ascii="宋体" w:hAnsi="宋体" w:cs="宋体"/>
                <w:szCs w:val="21"/>
                <w:highlight w:val="none"/>
              </w:rPr>
              <w:t>内生产的产品。</w:t>
            </w:r>
          </w:p>
          <w:p w14:paraId="5EA6CF9D">
            <w:pPr>
              <w:rPr>
                <w:rFonts w:ascii="宋体" w:hAnsi="宋体" w:cs="宋体"/>
                <w:b/>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送货至采购人指定地点，协助进行安装场地设计，完成安装和调试。所有安装应符合国家、行业相关标准及规范。</w:t>
            </w:r>
            <w:r>
              <w:rPr>
                <w:rFonts w:hint="eastAsia" w:ascii="宋体" w:hAnsi="宋体" w:cs="宋体"/>
                <w:b/>
                <w:szCs w:val="21"/>
                <w:highlight w:val="none"/>
              </w:rPr>
              <w:t>（所有货物仅接受现场交付，不接受邮递）</w:t>
            </w:r>
          </w:p>
          <w:p w14:paraId="78185AC9">
            <w:pPr>
              <w:rPr>
                <w:rFonts w:ascii="宋体" w:hAnsi="宋体" w:cs="宋体"/>
                <w:szCs w:val="21"/>
                <w:highlight w:val="none"/>
              </w:rPr>
            </w:pPr>
            <w:r>
              <w:rPr>
                <w:rFonts w:ascii="宋体" w:hAnsi="宋体" w:cs="宋体"/>
                <w:szCs w:val="21"/>
                <w:highlight w:val="none"/>
              </w:rPr>
              <w:t>3.为采购</w:t>
            </w:r>
            <w:r>
              <w:rPr>
                <w:rFonts w:hint="eastAsia" w:ascii="宋体" w:hAnsi="宋体" w:cs="宋体"/>
                <w:szCs w:val="21"/>
                <w:highlight w:val="none"/>
              </w:rPr>
              <w:t>人</w:t>
            </w:r>
            <w:r>
              <w:rPr>
                <w:rFonts w:ascii="宋体" w:hAnsi="宋体" w:cs="宋体"/>
                <w:szCs w:val="21"/>
                <w:highlight w:val="none"/>
              </w:rPr>
              <w:t>提供</w:t>
            </w:r>
            <w:r>
              <w:rPr>
                <w:rFonts w:hint="eastAsia" w:ascii="宋体" w:hAnsi="宋体" w:cs="宋体"/>
                <w:szCs w:val="21"/>
                <w:highlight w:val="none"/>
              </w:rPr>
              <w:t>产品</w:t>
            </w:r>
            <w:r>
              <w:rPr>
                <w:rFonts w:ascii="宋体" w:hAnsi="宋体" w:cs="宋体"/>
                <w:szCs w:val="21"/>
                <w:highlight w:val="none"/>
              </w:rPr>
              <w:t>操作</w:t>
            </w:r>
            <w:r>
              <w:rPr>
                <w:rFonts w:hint="eastAsia" w:ascii="宋体" w:hAnsi="宋体" w:cs="宋体"/>
                <w:szCs w:val="21"/>
                <w:highlight w:val="none"/>
              </w:rPr>
              <w:t>、维修、日常养护等方面的</w:t>
            </w:r>
            <w:r>
              <w:rPr>
                <w:rFonts w:ascii="宋体" w:hAnsi="宋体" w:cs="宋体"/>
                <w:szCs w:val="21"/>
                <w:highlight w:val="none"/>
              </w:rPr>
              <w:t>培训，确保</w:t>
            </w:r>
            <w:r>
              <w:rPr>
                <w:rFonts w:hint="eastAsia" w:ascii="宋体" w:hAnsi="宋体" w:cs="宋体"/>
                <w:szCs w:val="21"/>
                <w:highlight w:val="none"/>
              </w:rPr>
              <w:t>采购方使用人员</w:t>
            </w:r>
            <w:r>
              <w:rPr>
                <w:rFonts w:ascii="宋体" w:hAnsi="宋体" w:cs="宋体"/>
                <w:szCs w:val="21"/>
                <w:highlight w:val="none"/>
              </w:rPr>
              <w:t>能独立操作使用</w:t>
            </w:r>
            <w:r>
              <w:rPr>
                <w:rFonts w:hint="eastAsia" w:ascii="宋体" w:hAnsi="宋体" w:cs="宋体"/>
                <w:szCs w:val="21"/>
                <w:highlight w:val="none"/>
              </w:rPr>
              <w:t>，</w:t>
            </w:r>
            <w:r>
              <w:rPr>
                <w:rFonts w:ascii="宋体" w:hAnsi="宋体" w:cs="宋体"/>
                <w:szCs w:val="21"/>
                <w:highlight w:val="none"/>
              </w:rPr>
              <w:t>培训人数</w:t>
            </w:r>
            <w:r>
              <w:rPr>
                <w:rFonts w:hint="eastAsia" w:ascii="宋体" w:hAnsi="宋体" w:cs="宋体"/>
                <w:szCs w:val="21"/>
                <w:highlight w:val="none"/>
              </w:rPr>
              <w:t>、时间、地点等</w:t>
            </w:r>
            <w:r>
              <w:rPr>
                <w:rFonts w:ascii="宋体" w:hAnsi="宋体" w:cs="宋体"/>
                <w:szCs w:val="21"/>
                <w:highlight w:val="none"/>
              </w:rPr>
              <w:t>由采购</w:t>
            </w:r>
            <w:r>
              <w:rPr>
                <w:rFonts w:hint="eastAsia" w:ascii="宋体" w:hAnsi="宋体" w:cs="宋体"/>
                <w:szCs w:val="21"/>
                <w:highlight w:val="none"/>
              </w:rPr>
              <w:t>人指定</w:t>
            </w:r>
            <w:r>
              <w:rPr>
                <w:rFonts w:ascii="宋体" w:hAnsi="宋体" w:cs="宋体"/>
                <w:szCs w:val="21"/>
                <w:highlight w:val="none"/>
              </w:rPr>
              <w:t>。</w:t>
            </w:r>
          </w:p>
          <w:p w14:paraId="0141D358">
            <w:pPr>
              <w:spacing w:line="380" w:lineRule="exact"/>
              <w:rPr>
                <w:rFonts w:ascii="宋体" w:hAnsi="宋体" w:cs="宋体"/>
                <w:szCs w:val="21"/>
                <w:highlight w:val="none"/>
              </w:rPr>
            </w:pPr>
            <w:r>
              <w:rPr>
                <w:rFonts w:ascii="宋体" w:hAnsi="宋体" w:cs="宋体"/>
                <w:szCs w:val="21"/>
                <w:highlight w:val="none"/>
              </w:rPr>
              <w:t>4.故障响应时间：</w:t>
            </w:r>
            <w:r>
              <w:rPr>
                <w:rFonts w:hint="eastAsia" w:ascii="Arial" w:hAnsi="Arial" w:cs="Arial"/>
                <w:szCs w:val="21"/>
                <w:highlight w:val="none"/>
              </w:rPr>
              <w:t>乙方在接到甲方通知后在按</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小时内到达现场进行处理，到达现场后</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小时内排除故障，恢复正常使用</w:t>
            </w:r>
            <w:r>
              <w:rPr>
                <w:rFonts w:ascii="宋体" w:hAnsi="宋体" w:cs="宋体"/>
                <w:szCs w:val="21"/>
                <w:highlight w:val="none"/>
              </w:rPr>
              <w:t>。</w:t>
            </w:r>
          </w:p>
          <w:p w14:paraId="51B287EE">
            <w:pPr>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成交人须遵守校园出入规定，在供货、安装过程中确保相关人员安全。</w:t>
            </w:r>
            <w:r>
              <w:rPr>
                <w:rFonts w:ascii="宋体" w:hAnsi="宋体" w:cs="宋体"/>
                <w:szCs w:val="21"/>
                <w:highlight w:val="none"/>
              </w:rPr>
              <w:t>供货</w:t>
            </w:r>
            <w:r>
              <w:rPr>
                <w:rFonts w:hint="eastAsia" w:ascii="宋体" w:hAnsi="宋体" w:cs="宋体"/>
                <w:szCs w:val="21"/>
                <w:highlight w:val="none"/>
              </w:rPr>
              <w:t>、</w:t>
            </w:r>
            <w:r>
              <w:rPr>
                <w:rFonts w:ascii="宋体" w:hAnsi="宋体" w:cs="宋体"/>
                <w:szCs w:val="21"/>
                <w:highlight w:val="none"/>
              </w:rPr>
              <w:t>安装过程中产生的残留物或垃圾，</w:t>
            </w:r>
            <w:r>
              <w:rPr>
                <w:rFonts w:hint="eastAsia" w:ascii="宋体" w:hAnsi="宋体" w:cs="宋体"/>
                <w:szCs w:val="21"/>
                <w:highlight w:val="none"/>
              </w:rPr>
              <w:t>成交人需</w:t>
            </w:r>
            <w:r>
              <w:rPr>
                <w:rFonts w:ascii="宋体" w:hAnsi="宋体" w:cs="宋体"/>
                <w:szCs w:val="21"/>
                <w:highlight w:val="none"/>
              </w:rPr>
              <w:t>自行清理至校外。</w:t>
            </w:r>
          </w:p>
        </w:tc>
      </w:tr>
      <w:tr w14:paraId="627C8BD3">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u w:val="single"/>
                <w:lang w:val="en-US" w:eastAsia="zh-CN"/>
              </w:rPr>
              <w:t xml:space="preserve"> </w:t>
            </w:r>
            <w:r>
              <w:rPr>
                <w:rFonts w:hint="eastAsia" w:ascii="宋体" w:hAnsi="宋体" w:cs="宋体"/>
                <w:spacing w:val="-2"/>
                <w:szCs w:val="21"/>
                <w:highlight w:val="none"/>
                <w:u w:val="single"/>
              </w:rPr>
              <w:t xml:space="preserve">15  </w:t>
            </w:r>
            <w:r>
              <w:rPr>
                <w:rFonts w:hint="eastAsia" w:ascii="宋体" w:hAnsi="宋体" w:cs="宋体"/>
                <w:spacing w:val="-2"/>
                <w:szCs w:val="21"/>
                <w:highlight w:val="none"/>
              </w:rPr>
              <w:t>日内全部交付完成并验收合格。</w:t>
            </w:r>
          </w:p>
          <w:p w14:paraId="5967DC7C">
            <w:pPr>
              <w:rPr>
                <w:rFonts w:hint="eastAsia"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5D22DE6F">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ascii="宋体" w:hAnsi="宋体" w:cs="宋体"/>
                <w:szCs w:val="21"/>
                <w:highlight w:val="none"/>
              </w:rPr>
            </w:pPr>
            <w:r>
              <w:rPr>
                <w:rFonts w:hint="eastAsia" w:ascii="Arial" w:hAnsi="Arial" w:cs="Arial"/>
                <w:szCs w:val="21"/>
                <w:highlight w:val="none"/>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该账户的真实性及合法性由乙方负责</w:t>
            </w:r>
            <w:r>
              <w:rPr>
                <w:rFonts w:ascii="Arial" w:hAnsi="Arial" w:cs="Arial"/>
                <w:szCs w:val="21"/>
                <w:highlight w:val="none"/>
              </w:rPr>
              <w:t>)</w:t>
            </w:r>
            <w:r>
              <w:rPr>
                <w:rFonts w:hint="eastAsia" w:ascii="Arial" w:hAnsi="Arial" w:cs="Arial"/>
                <w:szCs w:val="21"/>
                <w:highlight w:val="none"/>
              </w:rPr>
              <w:t>；如因乙方提供的账户信息错误导致无法付款、迟延付款等情形的不视为甲方违约；乙方变更收款银行账户的，应在变更之前书面通知甲方，否则应承担甲方无法付款、迟延付款或付款错误等全部责任。</w:t>
            </w:r>
          </w:p>
          <w:p w14:paraId="2E543793">
            <w:pPr>
              <w:rPr>
                <w:rFonts w:hint="eastAsia" w:ascii="宋体" w:hAnsi="宋体" w:cs="宋体"/>
                <w:szCs w:val="21"/>
                <w:highlight w:val="none"/>
                <w:lang w:eastAsia="en-US"/>
              </w:rPr>
            </w:pPr>
            <w:r>
              <w:rPr>
                <w:rFonts w:hint="eastAsia" w:ascii="宋体" w:hAnsi="宋体" w:cs="宋体"/>
                <w:szCs w:val="21"/>
                <w:highlight w:val="none"/>
                <w:lang w:eastAsia="en-US"/>
              </w:rPr>
              <w:t>2.本项目收取履约保证金：</w:t>
            </w:r>
            <w:r>
              <w:rPr>
                <w:rFonts w:hint="eastAsia" w:ascii="宋体" w:hAnsi="宋体" w:cs="宋体"/>
                <w:szCs w:val="21"/>
                <w:highlight w:val="none"/>
              </w:rPr>
              <w:t>☑</w:t>
            </w:r>
            <w:r>
              <w:rPr>
                <w:rFonts w:hint="eastAsia" w:ascii="宋体" w:hAnsi="宋体" w:cs="宋体"/>
                <w:szCs w:val="21"/>
                <w:highlight w:val="none"/>
                <w:lang w:eastAsia="en-US"/>
              </w:rPr>
              <w:t>无    □有，人民币</w:t>
            </w:r>
            <w:r>
              <w:rPr>
                <w:rFonts w:hint="eastAsia" w:ascii="宋体" w:hAnsi="宋体" w:cs="宋体"/>
                <w:szCs w:val="21"/>
                <w:highlight w:val="none"/>
                <w:u w:val="single"/>
                <w:lang w:eastAsia="en-US"/>
              </w:rPr>
              <w:t xml:space="preserve">        </w:t>
            </w:r>
            <w:r>
              <w:rPr>
                <w:rFonts w:hint="eastAsia" w:ascii="宋体" w:hAnsi="宋体" w:cs="宋体"/>
                <w:szCs w:val="21"/>
                <w:highlight w:val="none"/>
                <w:lang w:eastAsia="en-US"/>
              </w:rPr>
              <w:t>元。</w:t>
            </w:r>
          </w:p>
          <w:p w14:paraId="4DF82F24">
            <w:pPr>
              <w:jc w:val="left"/>
              <w:rPr>
                <w:rFonts w:hint="eastAsia" w:ascii="宋体" w:hAnsi="宋体" w:cs="宋体"/>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4D2ACEFC">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3"/>
              </w:numPr>
              <w:rPr>
                <w:rFonts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3"/>
              </w:numPr>
              <w:rPr>
                <w:rFonts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14:paraId="12F8A2B6">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328B3204">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43959B9C">
            <w:pPr>
              <w:rPr>
                <w:rFonts w:hint="eastAsia" w:ascii="宋体" w:hAnsi="宋体" w:cs="宋体"/>
                <w:szCs w:val="21"/>
              </w:rPr>
            </w:pPr>
            <w:r>
              <w:rPr>
                <w:rFonts w:hint="eastAsia" w:ascii="宋体" w:hAnsi="宋体" w:cs="宋体"/>
                <w:szCs w:val="21"/>
              </w:rPr>
              <w:t>（1）提供厂家针对该项目的授权书，并加盖厂家公章。</w:t>
            </w:r>
          </w:p>
          <w:p w14:paraId="0C1BA836">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0806F4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61B765E"/>
    <w:rsid w:val="271B0BFB"/>
    <w:rsid w:val="40A76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link w:val="1"/>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
    <w:basedOn w:val="1"/>
    <w:qFormat/>
    <w:uiPriority w:val="0"/>
    <w:pPr>
      <w:ind w:firstLine="420" w:firstLineChars="200"/>
    </w:pPr>
    <w:rPr>
      <w:rFonts w:ascii="Times New Roman" w:hAnsi="Times New Roman" w:eastAsia="宋体" w:cs="Times New Roman"/>
      <w:szCs w:val="21"/>
    </w:rPr>
  </w:style>
  <w:style w:type="character" w:customStyle="1" w:styleId="10">
    <w:name w:val="font31"/>
    <w:link w:val="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link w:val="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9932</Words>
  <Characters>10714</Characters>
  <TotalTime>23</TotalTime>
  <ScaleCrop>false</ScaleCrop>
  <LinksUpToDate>false</LinksUpToDate>
  <CharactersWithSpaces>10919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Siqi Qiu</cp:lastModifiedBy>
  <cp:lastPrinted>2025-09-09T02:39:00Z</cp:lastPrinted>
  <dcterms:modified xsi:type="dcterms:W3CDTF">2025-11-05T09:39:29Z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eyJoZGlkIjoiYTI4ZmQ1NDFhMTliMmFjNzNkMzE0MDQxODMwZjAwODMiLCJ1c2VySWQiOiIzODgyODQ1MzAifQ==</vt:lpwstr>
  </property>
  <property fmtid="{D5CDD505-2E9C-101B-9397-08002B2CF9AE}" pid="3" name="KSOProductBuildVer">
    <vt:lpwstr>2052-12.1.0.23542</vt:lpwstr>
  </property>
  <property fmtid="{D5CDD505-2E9C-101B-9397-08002B2CF9AE}" pid="4" name="ICV">
    <vt:lpwstr>B7B821F98E2D49D09528D83A81DF111D_12</vt:lpwstr>
  </property>
</Properties>
</file>