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sz w:val="28"/>
          <w:szCs w:val="22"/>
        </w:rPr>
      </w:pPr>
      <w:bookmarkStart w:id="0" w:name="_Toc195286314"/>
      <w:bookmarkStart w:id="1" w:name="_Toc392940984"/>
      <w:bookmarkStart w:id="2" w:name="_Toc459567788"/>
      <w:r>
        <w:rPr>
          <w:rFonts w:hint="eastAsia"/>
          <w:sz w:val="28"/>
          <w:szCs w:val="22"/>
        </w:rPr>
        <w:t>附件：</w:t>
      </w:r>
    </w:p>
    <w:p>
      <w:pPr>
        <w:pStyle w:val="2"/>
        <w:rPr>
          <w:rFonts w:hint="eastAsia" w:eastAsia="宋体"/>
          <w:lang w:eastAsia="zh-CN"/>
        </w:rPr>
      </w:pPr>
      <w:r>
        <w:rPr>
          <w:rFonts w:hint="eastAsia"/>
        </w:rPr>
        <w:t>评分</w:t>
      </w:r>
      <w:r>
        <w:t>办法</w:t>
      </w:r>
      <w:bookmarkEnd w:id="0"/>
      <w:bookmarkEnd w:id="1"/>
      <w:bookmarkEnd w:id="2"/>
    </w:p>
    <w:tbl>
      <w:tblPr>
        <w:tblStyle w:val="8"/>
        <w:tblW w:w="5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736"/>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shd w:val="clear" w:color="auto" w:fill="E6E6E6"/>
            <w:tcMar>
              <w:left w:w="57" w:type="dxa"/>
              <w:right w:w="57" w:type="dxa"/>
            </w:tcMar>
            <w:vAlign w:val="center"/>
          </w:tcPr>
          <w:p>
            <w:pPr>
              <w:spacing w:line="360" w:lineRule="auto"/>
              <w:jc w:val="center"/>
              <w:rPr>
                <w:b/>
                <w:szCs w:val="21"/>
              </w:rPr>
            </w:pPr>
            <w:r>
              <w:rPr>
                <w:rFonts w:hAnsi="宋体"/>
                <w:b/>
                <w:szCs w:val="21"/>
              </w:rPr>
              <w:t>评审因素</w:t>
            </w:r>
          </w:p>
        </w:tc>
        <w:tc>
          <w:tcPr>
            <w:tcW w:w="4304" w:type="pct"/>
            <w:gridSpan w:val="2"/>
            <w:shd w:val="clear" w:color="auto" w:fill="E6E6E6"/>
            <w:tcMar>
              <w:left w:w="57" w:type="dxa"/>
              <w:right w:w="57" w:type="dxa"/>
            </w:tcMar>
            <w:vAlign w:val="center"/>
          </w:tcPr>
          <w:p>
            <w:pPr>
              <w:spacing w:line="360" w:lineRule="auto"/>
              <w:jc w:val="center"/>
              <w:rPr>
                <w:b/>
                <w:szCs w:val="21"/>
              </w:rPr>
            </w:pPr>
            <w:r>
              <w:rPr>
                <w:rFonts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696" w:type="pct"/>
            <w:vMerge w:val="restart"/>
            <w:tcMar>
              <w:left w:w="57" w:type="dxa"/>
              <w:right w:w="57" w:type="dxa"/>
            </w:tcMar>
            <w:vAlign w:val="center"/>
          </w:tcPr>
          <w:p>
            <w:pPr>
              <w:spacing w:line="360" w:lineRule="auto"/>
              <w:jc w:val="center"/>
              <w:rPr>
                <w:szCs w:val="21"/>
              </w:rPr>
            </w:pPr>
            <w:r>
              <w:rPr>
                <w:rFonts w:hAnsi="宋体"/>
                <w:szCs w:val="21"/>
              </w:rPr>
              <w:t>资格评审</w:t>
            </w:r>
          </w:p>
          <w:p>
            <w:pPr>
              <w:spacing w:line="360" w:lineRule="auto"/>
              <w:jc w:val="center"/>
              <w:rPr>
                <w:rFonts w:hint="eastAsia" w:hAnsi="宋体"/>
                <w:szCs w:val="21"/>
              </w:rPr>
            </w:pPr>
            <w:r>
              <w:rPr>
                <w:rFonts w:hAnsi="宋体"/>
                <w:szCs w:val="21"/>
              </w:rPr>
              <w:t>标</w:t>
            </w:r>
            <w:r>
              <w:rPr>
                <w:szCs w:val="21"/>
              </w:rPr>
              <w:t xml:space="preserve">   </w:t>
            </w:r>
            <w:r>
              <w:rPr>
                <w:rFonts w:hAnsi="宋体"/>
                <w:szCs w:val="21"/>
              </w:rPr>
              <w:t>准</w:t>
            </w:r>
          </w:p>
        </w:tc>
        <w:tc>
          <w:tcPr>
            <w:tcW w:w="4304" w:type="pct"/>
            <w:gridSpan w:val="2"/>
            <w:tcMar>
              <w:left w:w="57" w:type="dxa"/>
              <w:right w:w="57" w:type="dxa"/>
            </w:tcMar>
            <w:vAlign w:val="center"/>
          </w:tcPr>
          <w:p>
            <w:pPr>
              <w:spacing w:line="360" w:lineRule="auto"/>
              <w:jc w:val="left"/>
              <w:rPr>
                <w:szCs w:val="21"/>
              </w:rPr>
            </w:pPr>
            <w:r>
              <w:rPr>
                <w:rFonts w:hint="eastAsia" w:cs="宋体"/>
                <w:b/>
                <w:bCs/>
              </w:rPr>
              <w:t>合格标准：缺少任何一项或有任何一项不合格者，其资格审查视为不合格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营业执照</w:t>
            </w:r>
          </w:p>
        </w:tc>
        <w:tc>
          <w:tcPr>
            <w:tcW w:w="3434" w:type="pct"/>
            <w:vAlign w:val="center"/>
          </w:tcPr>
          <w:p>
            <w:pPr>
              <w:spacing w:line="360" w:lineRule="auto"/>
              <w:jc w:val="center"/>
              <w:rPr>
                <w:szCs w:val="21"/>
              </w:rPr>
            </w:pPr>
            <w:r>
              <w:rPr>
                <w:rFonts w:hAnsi="宋体"/>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资质等级</w:t>
            </w:r>
          </w:p>
        </w:tc>
        <w:tc>
          <w:tcPr>
            <w:tcW w:w="3434" w:type="pct"/>
            <w:vAlign w:val="center"/>
          </w:tcPr>
          <w:p>
            <w:pPr>
              <w:spacing w:line="360" w:lineRule="auto"/>
              <w:jc w:val="center"/>
              <w:rPr>
                <w:szCs w:val="21"/>
              </w:rPr>
            </w:pPr>
            <w:r>
              <w:rPr>
                <w:rFonts w:hint="eastAsia"/>
                <w:szCs w:val="21"/>
              </w:rPr>
              <w:t>符合采购公告要求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总监理工程师</w:t>
            </w:r>
          </w:p>
        </w:tc>
        <w:tc>
          <w:tcPr>
            <w:tcW w:w="3434" w:type="pct"/>
            <w:vAlign w:val="center"/>
          </w:tcPr>
          <w:p>
            <w:pPr>
              <w:spacing w:line="360" w:lineRule="auto"/>
              <w:jc w:val="center"/>
              <w:rPr>
                <w:szCs w:val="21"/>
              </w:rPr>
            </w:pPr>
            <w:r>
              <w:rPr>
                <w:rFonts w:hint="eastAsia"/>
                <w:szCs w:val="21"/>
              </w:rPr>
              <w:t>符合采购公告要求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vMerge w:val="restart"/>
            <w:tcMar>
              <w:left w:w="57" w:type="dxa"/>
              <w:right w:w="57" w:type="dxa"/>
            </w:tcMar>
            <w:vAlign w:val="center"/>
          </w:tcPr>
          <w:p>
            <w:pPr>
              <w:spacing w:line="360" w:lineRule="auto"/>
              <w:jc w:val="center"/>
              <w:rPr>
                <w:szCs w:val="21"/>
              </w:rPr>
            </w:pPr>
            <w:r>
              <w:rPr>
                <w:rFonts w:hAnsi="宋体"/>
                <w:szCs w:val="21"/>
              </w:rPr>
              <w:t>符</w:t>
            </w:r>
            <w:r>
              <w:rPr>
                <w:szCs w:val="21"/>
              </w:rPr>
              <w:t xml:space="preserve"> </w:t>
            </w:r>
            <w:r>
              <w:rPr>
                <w:rFonts w:hAnsi="宋体"/>
                <w:szCs w:val="21"/>
              </w:rPr>
              <w:t>合</w:t>
            </w:r>
            <w:r>
              <w:rPr>
                <w:szCs w:val="21"/>
              </w:rPr>
              <w:t xml:space="preserve"> </w:t>
            </w:r>
            <w:r>
              <w:rPr>
                <w:rFonts w:hAnsi="宋体"/>
                <w:szCs w:val="21"/>
              </w:rPr>
              <w:t>性</w:t>
            </w:r>
          </w:p>
          <w:p>
            <w:pPr>
              <w:spacing w:line="360" w:lineRule="auto"/>
              <w:jc w:val="center"/>
              <w:rPr>
                <w:strike/>
                <w:szCs w:val="21"/>
              </w:rPr>
            </w:pPr>
            <w:r>
              <w:rPr>
                <w:rFonts w:hAnsi="宋体"/>
                <w:szCs w:val="21"/>
              </w:rPr>
              <w:t>评审标准</w:t>
            </w:r>
          </w:p>
        </w:tc>
        <w:tc>
          <w:tcPr>
            <w:tcW w:w="4304" w:type="pct"/>
            <w:gridSpan w:val="2"/>
            <w:tcMar>
              <w:left w:w="57" w:type="dxa"/>
              <w:right w:w="57" w:type="dxa"/>
            </w:tcMar>
            <w:vAlign w:val="center"/>
          </w:tcPr>
          <w:p>
            <w:pPr>
              <w:spacing w:line="360" w:lineRule="auto"/>
              <w:jc w:val="left"/>
              <w:rPr>
                <w:b/>
                <w:bCs/>
                <w:szCs w:val="21"/>
              </w:rPr>
            </w:pPr>
            <w:r>
              <w:rPr>
                <w:rFonts w:hint="eastAsia" w:hAnsi="宋体"/>
                <w:b/>
                <w:bCs/>
                <w:szCs w:val="21"/>
              </w:rPr>
              <w:t>合格标准：有任何一项不合格者，其</w:t>
            </w:r>
            <w:r>
              <w:rPr>
                <w:rFonts w:hAnsi="宋体"/>
                <w:b/>
                <w:bCs/>
                <w:szCs w:val="21"/>
              </w:rPr>
              <w:t>符合性评审</w:t>
            </w:r>
            <w:r>
              <w:rPr>
                <w:rFonts w:hint="eastAsia" w:hAnsi="宋体"/>
                <w:b/>
                <w:bCs/>
                <w:szCs w:val="21"/>
              </w:rPr>
              <w:t>均视为不合格</w:t>
            </w:r>
          </w:p>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vMerge w:val="continue"/>
            <w:tcMar>
              <w:left w:w="57" w:type="dxa"/>
              <w:right w:w="57" w:type="dxa"/>
            </w:tcMar>
            <w:vAlign w:val="center"/>
          </w:tcPr>
          <w:p>
            <w:pPr>
              <w:spacing w:line="360" w:lineRule="auto"/>
              <w:jc w:val="center"/>
              <w:rPr>
                <w:rFonts w:hint="eastAsia" w:hAnsi="宋体"/>
                <w:szCs w:val="21"/>
              </w:rPr>
            </w:pPr>
          </w:p>
        </w:tc>
        <w:tc>
          <w:tcPr>
            <w:tcW w:w="870" w:type="pct"/>
            <w:tcMar>
              <w:left w:w="57" w:type="dxa"/>
              <w:right w:w="57" w:type="dxa"/>
            </w:tcMar>
            <w:vAlign w:val="center"/>
          </w:tcPr>
          <w:p>
            <w:pPr>
              <w:spacing w:line="360" w:lineRule="auto"/>
              <w:jc w:val="center"/>
              <w:rPr>
                <w:rFonts w:hint="eastAsia" w:hAnsi="宋体"/>
                <w:szCs w:val="21"/>
              </w:rPr>
            </w:pPr>
            <w:r>
              <w:rPr>
                <w:rFonts w:hAnsi="宋体"/>
                <w:szCs w:val="21"/>
              </w:rPr>
              <w:t>投标人名称</w:t>
            </w:r>
          </w:p>
        </w:tc>
        <w:tc>
          <w:tcPr>
            <w:tcW w:w="3434" w:type="pct"/>
            <w:vAlign w:val="center"/>
          </w:tcPr>
          <w:p>
            <w:pPr>
              <w:spacing w:line="360" w:lineRule="auto"/>
              <w:jc w:val="center"/>
              <w:rPr>
                <w:rFonts w:hint="eastAsia" w:hAnsi="宋体"/>
                <w:szCs w:val="21"/>
              </w:rPr>
            </w:pPr>
            <w:r>
              <w:rPr>
                <w:rFonts w:hAnsi="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投标</w:t>
            </w:r>
            <w:r>
              <w:rPr>
                <w:rFonts w:hint="eastAsia" w:hAnsi="宋体"/>
                <w:szCs w:val="21"/>
              </w:rPr>
              <w:t>文件</w:t>
            </w:r>
            <w:r>
              <w:rPr>
                <w:rFonts w:hAnsi="宋体"/>
                <w:szCs w:val="21"/>
              </w:rPr>
              <w:t>盖章</w:t>
            </w:r>
          </w:p>
        </w:tc>
        <w:tc>
          <w:tcPr>
            <w:tcW w:w="3434" w:type="pct"/>
            <w:vAlign w:val="center"/>
          </w:tcPr>
          <w:p>
            <w:pPr>
              <w:spacing w:line="360" w:lineRule="auto"/>
              <w:jc w:val="center"/>
              <w:rPr>
                <w:szCs w:val="21"/>
              </w:rPr>
            </w:pPr>
            <w:r>
              <w:rPr>
                <w:rFonts w:hint="eastAsia"/>
                <w:szCs w:val="21"/>
              </w:rPr>
              <w:t>盖投标人法</w:t>
            </w:r>
            <w:r>
              <w:rPr>
                <w:szCs w:val="21"/>
              </w:rPr>
              <w:t>人单位</w:t>
            </w:r>
            <w:r>
              <w:rPr>
                <w:rFonts w:hint="eastAsia"/>
                <w:szCs w:val="21"/>
              </w:rPr>
              <w:t>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投标报价</w:t>
            </w:r>
          </w:p>
        </w:tc>
        <w:tc>
          <w:tcPr>
            <w:tcW w:w="3434" w:type="pct"/>
            <w:vAlign w:val="center"/>
          </w:tcPr>
          <w:p>
            <w:pPr>
              <w:spacing w:line="360" w:lineRule="auto"/>
              <w:jc w:val="center"/>
              <w:rPr>
                <w:szCs w:val="21"/>
              </w:rPr>
            </w:pPr>
            <w:r>
              <w:rPr>
                <w:rFonts w:hint="eastAsia"/>
                <w:szCs w:val="21"/>
              </w:rPr>
              <w:t>符合采购公告要求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6" w:type="pct"/>
            <w:vMerge w:val="restart"/>
            <w:tcMar>
              <w:left w:w="57" w:type="dxa"/>
              <w:right w:w="57" w:type="dxa"/>
            </w:tcMar>
          </w:tcPr>
          <w:p>
            <w:pPr>
              <w:spacing w:line="360" w:lineRule="auto"/>
              <w:jc w:val="center"/>
              <w:rPr>
                <w:szCs w:val="21"/>
              </w:rPr>
            </w:pPr>
            <w:r>
              <w:rPr>
                <w:rFonts w:hint="eastAsia"/>
                <w:szCs w:val="21"/>
              </w:rPr>
              <w:t>评分标准</w:t>
            </w:r>
          </w:p>
          <w:p>
            <w:pPr>
              <w:spacing w:line="360" w:lineRule="auto"/>
              <w:jc w:val="center"/>
              <w:rPr>
                <w:szCs w:val="21"/>
              </w:rPr>
            </w:pPr>
            <w:r>
              <w:rPr>
                <w:rFonts w:hint="eastAsia"/>
                <w:szCs w:val="21"/>
              </w:rPr>
              <w:t>（满分10</w:t>
            </w:r>
            <w:r>
              <w:rPr>
                <w:szCs w:val="21"/>
              </w:rPr>
              <w:t>0</w:t>
            </w:r>
            <w:r>
              <w:rPr>
                <w:rFonts w:hint="eastAsia"/>
                <w:szCs w:val="21"/>
              </w:rPr>
              <w:t>）</w:t>
            </w:r>
          </w:p>
        </w:tc>
        <w:tc>
          <w:tcPr>
            <w:tcW w:w="870" w:type="pct"/>
            <w:tcMar>
              <w:left w:w="57" w:type="dxa"/>
              <w:right w:w="57" w:type="dxa"/>
            </w:tcMar>
          </w:tcPr>
          <w:p>
            <w:pPr>
              <w:spacing w:line="360" w:lineRule="auto"/>
              <w:jc w:val="left"/>
              <w:rPr>
                <w:szCs w:val="21"/>
              </w:rPr>
            </w:pPr>
            <w:r>
              <w:rPr>
                <w:rFonts w:hint="eastAsia" w:hAnsi="宋体"/>
                <w:szCs w:val="21"/>
              </w:rPr>
              <w:t>总监理工程师资格</w:t>
            </w:r>
            <w:r>
              <w:rPr>
                <w:rFonts w:hAnsi="宋体"/>
                <w:szCs w:val="21"/>
              </w:rPr>
              <w:t>（</w:t>
            </w:r>
            <w:r>
              <w:rPr>
                <w:rFonts w:hint="eastAsia" w:hAnsi="宋体"/>
                <w:szCs w:val="21"/>
              </w:rPr>
              <w:t>0.0</w:t>
            </w:r>
            <w:r>
              <w:rPr>
                <w:rFonts w:hint="eastAsia"/>
                <w:szCs w:val="21"/>
              </w:rPr>
              <w:t>~15</w:t>
            </w:r>
            <w:r>
              <w:rPr>
                <w:rFonts w:hAnsi="宋体"/>
                <w:szCs w:val="21"/>
              </w:rPr>
              <w:t>分）</w:t>
            </w:r>
          </w:p>
        </w:tc>
        <w:tc>
          <w:tcPr>
            <w:tcW w:w="3434" w:type="pct"/>
            <w:tcMar>
              <w:left w:w="57" w:type="dxa"/>
              <w:right w:w="57" w:type="dxa"/>
            </w:tcMar>
          </w:tcPr>
          <w:p>
            <w:pPr>
              <w:spacing w:line="360" w:lineRule="auto"/>
              <w:jc w:val="left"/>
            </w:pPr>
            <w:r>
              <w:rPr>
                <w:rFonts w:hAnsi="宋体"/>
                <w:szCs w:val="21"/>
              </w:rPr>
              <w:t>总监理工程师职称</w:t>
            </w:r>
            <w:r>
              <w:rPr>
                <w:rFonts w:hint="eastAsia" w:hAnsi="宋体"/>
                <w:szCs w:val="21"/>
              </w:rPr>
              <w:t>、学历：具有高级</w:t>
            </w:r>
            <w:r>
              <w:rPr>
                <w:rFonts w:hAnsi="宋体"/>
                <w:szCs w:val="21"/>
              </w:rPr>
              <w:t>工程师</w:t>
            </w:r>
            <w:r>
              <w:rPr>
                <w:rFonts w:hint="eastAsia" w:hAnsi="宋体"/>
                <w:szCs w:val="21"/>
              </w:rPr>
              <w:t>及以上职称的得</w:t>
            </w:r>
            <w:r>
              <w:rPr>
                <w:rFonts w:hint="eastAsia" w:hAnsi="宋体"/>
                <w:szCs w:val="21"/>
                <w:u w:val="single"/>
                <w:lang w:val="en-US" w:eastAsia="zh-CN"/>
              </w:rPr>
              <w:t>3</w:t>
            </w:r>
            <w:r>
              <w:rPr>
                <w:rFonts w:hint="eastAsia" w:hAnsi="宋体"/>
                <w:szCs w:val="21"/>
              </w:rPr>
              <w:t>分；</w:t>
            </w:r>
            <w:r>
              <w:t>具有</w:t>
            </w:r>
            <w:r>
              <w:rPr>
                <w:rFonts w:hint="eastAsia"/>
                <w:u w:val="single"/>
              </w:rPr>
              <w:t>建筑工程类</w:t>
            </w:r>
            <w:r>
              <w:rPr>
                <w:rFonts w:hint="eastAsia"/>
              </w:rPr>
              <w:t>专业（根据项目定）</w:t>
            </w:r>
            <w:r>
              <w:t>大学本科学历及以上的得</w:t>
            </w:r>
            <w:r>
              <w:rPr>
                <w:rFonts w:hint="eastAsia"/>
                <w:u w:val="single"/>
                <w:lang w:val="en-US" w:eastAsia="zh-CN"/>
              </w:rPr>
              <w:t>2</w:t>
            </w:r>
            <w:r>
              <w:t>分，具有</w:t>
            </w:r>
            <w:r>
              <w:rPr>
                <w:rFonts w:hint="eastAsia"/>
                <w:u w:val="single"/>
              </w:rPr>
              <w:t>建筑工程类</w:t>
            </w:r>
            <w:r>
              <w:rPr>
                <w:rFonts w:hint="eastAsia"/>
              </w:rPr>
              <w:t>专业（根据项目定）</w:t>
            </w:r>
            <w:r>
              <w:t>大学专科学历的得</w:t>
            </w:r>
            <w:r>
              <w:rPr>
                <w:rFonts w:hint="eastAsia"/>
                <w:u w:val="single"/>
                <w:lang w:val="en-US" w:eastAsia="zh-CN"/>
              </w:rPr>
              <w:t>1</w:t>
            </w:r>
            <w:r>
              <w:t>分。</w:t>
            </w:r>
          </w:p>
          <w:p>
            <w:pPr>
              <w:spacing w:line="360" w:lineRule="auto"/>
              <w:jc w:val="left"/>
              <w:rPr>
                <w:rFonts w:hint="eastAsia"/>
                <w:szCs w:val="21"/>
              </w:rPr>
            </w:pPr>
            <w:r>
              <w:rPr>
                <w:rFonts w:hint="eastAsia" w:hAnsi="宋体"/>
                <w:szCs w:val="21"/>
              </w:rPr>
              <w:t>总监理工程师从业经历：自2020年1月1日以来至材料文件递交时间止完成过类似项目业绩（</w:t>
            </w:r>
            <w:r>
              <w:rPr>
                <w:rFonts w:hint="eastAsia" w:hAnsi="宋体"/>
                <w:color w:val="auto"/>
                <w:szCs w:val="21"/>
                <w:highlight w:val="none"/>
              </w:rPr>
              <w:t>类似业绩指：550万元（含）以上</w:t>
            </w:r>
            <w:r>
              <w:rPr>
                <w:rFonts w:hint="eastAsia" w:hAnsi="宋体"/>
                <w:color w:val="auto"/>
                <w:szCs w:val="21"/>
                <w:highlight w:val="none"/>
                <w:lang w:eastAsia="zh-CN"/>
              </w:rPr>
              <w:t>的</w:t>
            </w:r>
            <w:r>
              <w:rPr>
                <w:rFonts w:hint="eastAsia" w:hAnsi="宋体"/>
                <w:color w:val="auto"/>
                <w:szCs w:val="21"/>
                <w:highlight w:val="none"/>
              </w:rPr>
              <w:t>建筑工程项目</w:t>
            </w:r>
            <w:r>
              <w:rPr>
                <w:rFonts w:hint="eastAsia" w:hAnsi="宋体"/>
                <w:szCs w:val="21"/>
              </w:rPr>
              <w:t>），每完成过1个类似项目得5分，满分10分。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tcPr>
          <w:p>
            <w:pPr>
              <w:spacing w:line="360" w:lineRule="auto"/>
              <w:jc w:val="left"/>
              <w:rPr>
                <w:szCs w:val="21"/>
              </w:rPr>
            </w:pPr>
            <w:r>
              <w:rPr>
                <w:rFonts w:hint="eastAsia"/>
                <w:szCs w:val="21"/>
              </w:rPr>
              <w:t>项目监理人员机构情况（0.0</w:t>
            </w:r>
            <w:r>
              <w:rPr>
                <w:szCs w:val="21"/>
              </w:rPr>
              <w:t>~</w:t>
            </w:r>
            <w:r>
              <w:rPr>
                <w:rFonts w:hint="eastAsia"/>
                <w:szCs w:val="21"/>
              </w:rPr>
              <w:t>2</w:t>
            </w:r>
            <w:r>
              <w:rPr>
                <w:szCs w:val="21"/>
              </w:rPr>
              <w:t>0</w:t>
            </w:r>
            <w:r>
              <w:rPr>
                <w:rFonts w:hint="eastAsia"/>
                <w:szCs w:val="21"/>
              </w:rPr>
              <w:t>分）</w:t>
            </w:r>
          </w:p>
        </w:tc>
        <w:tc>
          <w:tcPr>
            <w:tcW w:w="3434" w:type="pct"/>
            <w:tcMar>
              <w:left w:w="57" w:type="dxa"/>
              <w:right w:w="57" w:type="dxa"/>
            </w:tcMar>
          </w:tcPr>
          <w:p>
            <w:pPr>
              <w:spacing w:line="360" w:lineRule="auto"/>
              <w:jc w:val="left"/>
              <w:rPr>
                <w:rFonts w:hint="eastAsia" w:hAnsi="宋体"/>
                <w:szCs w:val="21"/>
              </w:rPr>
            </w:pPr>
            <w:r>
              <w:rPr>
                <w:rFonts w:hint="eastAsia" w:hAnsi="宋体"/>
                <w:szCs w:val="21"/>
              </w:rPr>
              <w:t>（1）专业监理工程师（满分15分），须持有国家建设部颁发的《注册监理工程师注册执业证书》或广西建设监理工程师证书或广西壮族自治区住建厅颁发的监理员岗位证书，投入专业监理工程师人数≥2人，其中房屋建筑工程类1人、电气类1人，且具有高级及以上专业技术职称，每提供1人得5分，满分10分。②具有建筑工程类专业大学本科学历及以上的每提供1人得2.5分，满分5分。</w:t>
            </w:r>
          </w:p>
          <w:p>
            <w:pPr>
              <w:spacing w:line="360" w:lineRule="auto"/>
              <w:jc w:val="left"/>
              <w:rPr>
                <w:szCs w:val="21"/>
              </w:rPr>
            </w:pPr>
            <w:r>
              <w:rPr>
                <w:rFonts w:hint="eastAsia" w:hAnsi="宋体"/>
                <w:szCs w:val="21"/>
              </w:rPr>
              <w:t>（2）其他监理员 1 人（每人5分，满分5 分），须持有国家建设部颁发的《注册监理工程师注册执业证书》或广西建设监理工程师证书或广西壮族自治区住建厅颁发的监理员岗位证书，且具有中级以上（含中级）专业技术职称。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pPr>
            <w:r>
              <w:rPr>
                <w:rFonts w:hAnsi="宋体"/>
              </w:rPr>
              <w:t>投标人资质情况</w:t>
            </w:r>
          </w:p>
          <w:p>
            <w:pPr>
              <w:tabs>
                <w:tab w:val="left" w:pos="1841"/>
              </w:tabs>
              <w:spacing w:line="360" w:lineRule="auto"/>
              <w:ind w:left="-107" w:leftChars="-51"/>
              <w:jc w:val="center"/>
            </w:pPr>
            <w:r>
              <w:rPr>
                <w:rFonts w:hAnsi="宋体"/>
              </w:rPr>
              <w:t>（</w:t>
            </w:r>
            <w:r>
              <w:rPr>
                <w:rFonts w:hint="eastAsia" w:hAnsi="宋体"/>
              </w:rPr>
              <w:t>0.</w:t>
            </w:r>
            <w:r>
              <w:rPr>
                <w:rFonts w:hint="eastAsia" w:hAnsi="宋体"/>
                <w:szCs w:val="21"/>
              </w:rPr>
              <w:t>0~</w:t>
            </w:r>
            <w:r>
              <w:rPr>
                <w:rFonts w:hint="eastAsia"/>
                <w:szCs w:val="21"/>
              </w:rPr>
              <w:t>5</w:t>
            </w:r>
            <w:r>
              <w:rPr>
                <w:rFonts w:hAnsi="宋体"/>
                <w:szCs w:val="21"/>
              </w:rPr>
              <w:t>分）</w:t>
            </w:r>
          </w:p>
        </w:tc>
        <w:tc>
          <w:tcPr>
            <w:tcW w:w="3434" w:type="pct"/>
            <w:tcMar>
              <w:left w:w="57" w:type="dxa"/>
              <w:right w:w="57" w:type="dxa"/>
            </w:tcMar>
            <w:vAlign w:val="center"/>
          </w:tcPr>
          <w:p>
            <w:pPr>
              <w:spacing w:line="360" w:lineRule="auto"/>
              <w:jc w:val="left"/>
            </w:pPr>
            <w:r>
              <w:t>投标人具备</w:t>
            </w:r>
            <w:r>
              <w:rPr>
                <w:u w:val="single"/>
              </w:rPr>
              <w:t>房屋建筑工程</w:t>
            </w:r>
            <w:r>
              <w:t>监理乙级的得</w:t>
            </w:r>
            <w:r>
              <w:rPr>
                <w:rFonts w:hint="eastAsia"/>
                <w:u w:val="single"/>
              </w:rPr>
              <w:t>2</w:t>
            </w:r>
            <w:r>
              <w:t>分</w:t>
            </w:r>
            <w:r>
              <w:rPr>
                <w:rFonts w:hint="eastAsia"/>
              </w:rPr>
              <w:t>，</w:t>
            </w:r>
            <w:r>
              <w:t>具备</w:t>
            </w:r>
            <w:r>
              <w:rPr>
                <w:u w:val="single"/>
              </w:rPr>
              <w:t>房屋建筑工程</w:t>
            </w:r>
            <w:r>
              <w:t>监理甲级或综合资质得</w:t>
            </w:r>
            <w:r>
              <w:rPr>
                <w:rFonts w:hint="eastAsia"/>
                <w:u w:val="single"/>
              </w:rPr>
              <w:t>5</w:t>
            </w:r>
            <w:r>
              <w:t>分。（此项满分</w:t>
            </w:r>
            <w:r>
              <w:rPr>
                <w:rFonts w:hint="eastAsia"/>
                <w:u w:val="single"/>
              </w:rPr>
              <w:t>5</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pPr>
            <w:r>
              <w:rPr>
                <w:rFonts w:hint="eastAsia"/>
              </w:rPr>
              <w:t>投标报价分</w:t>
            </w:r>
          </w:p>
          <w:p>
            <w:pPr>
              <w:tabs>
                <w:tab w:val="left" w:pos="1841"/>
              </w:tabs>
              <w:spacing w:line="360" w:lineRule="auto"/>
              <w:ind w:left="-107" w:leftChars="-51"/>
              <w:jc w:val="center"/>
            </w:pPr>
            <w:r>
              <w:rPr>
                <w:rFonts w:hint="eastAsia"/>
              </w:rPr>
              <w:t>（</w:t>
            </w:r>
            <w:r>
              <w:rPr>
                <w:rFonts w:hint="eastAsia" w:hAnsi="宋体"/>
              </w:rPr>
              <w:t>0.</w:t>
            </w:r>
            <w:r>
              <w:rPr>
                <w:rFonts w:hint="eastAsia" w:hAnsi="宋体"/>
                <w:szCs w:val="21"/>
              </w:rPr>
              <w:t>0~1</w:t>
            </w:r>
            <w:r>
              <w:rPr>
                <w:szCs w:val="21"/>
              </w:rPr>
              <w:t>0</w:t>
            </w:r>
            <w:r>
              <w:rPr>
                <w:rFonts w:hAnsi="宋体"/>
                <w:szCs w:val="21"/>
              </w:rPr>
              <w:t>分</w:t>
            </w:r>
            <w:r>
              <w:rPr>
                <w:rFonts w:hint="eastAsia"/>
              </w:rPr>
              <w:t>）</w:t>
            </w:r>
          </w:p>
        </w:tc>
        <w:tc>
          <w:tcPr>
            <w:tcW w:w="3434" w:type="pct"/>
            <w:tcMar>
              <w:left w:w="57" w:type="dxa"/>
              <w:right w:w="57" w:type="dxa"/>
            </w:tcMar>
          </w:tcPr>
          <w:p>
            <w:pPr>
              <w:spacing w:line="360" w:lineRule="auto"/>
              <w:jc w:val="left"/>
            </w:pPr>
            <w:r>
              <w:rPr>
                <w:rFonts w:hint="eastAsia"/>
              </w:rPr>
              <w:t>以满足采购公告要求且下浮系数最高的投标报价为评审基准价，其价格分为满分。其他供应商的价格分统一按照下列公式计算：</w:t>
            </w:r>
          </w:p>
          <w:p>
            <w:pPr>
              <w:spacing w:line="360" w:lineRule="auto"/>
              <w:jc w:val="left"/>
              <w:rPr>
                <w:szCs w:val="21"/>
              </w:rPr>
            </w:pPr>
            <w:r>
              <w:rPr>
                <w:rFonts w:hint="eastAsia"/>
              </w:rPr>
              <w:t>投标报价得分=（下浮系数/评审基准价）×10分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rPr>
                <w:rFonts w:hint="eastAsia"/>
              </w:rPr>
            </w:pPr>
            <w:r>
              <w:rPr>
                <w:rFonts w:hint="eastAsia"/>
              </w:rPr>
              <w:t>工程特点、难点分析及监理对策(3.0~14.0分)</w:t>
            </w:r>
          </w:p>
        </w:tc>
        <w:tc>
          <w:tcPr>
            <w:tcW w:w="3434" w:type="pct"/>
            <w:tcMar>
              <w:left w:w="57" w:type="dxa"/>
              <w:right w:w="57" w:type="dxa"/>
            </w:tcMar>
          </w:tcPr>
          <w:p>
            <w:pPr>
              <w:spacing w:line="360" w:lineRule="auto"/>
              <w:jc w:val="left"/>
              <w:rPr>
                <w:rFonts w:hint="eastAsia"/>
              </w:rPr>
            </w:pPr>
            <w:r>
              <w:rPr>
                <w:rFonts w:hint="eastAsia"/>
              </w:rPr>
              <w:t>优(14分)：分析本项目的施工特点、本工程涉及的施工要点、难点，对工程特点、要点、难点分析较详细且深入深刻，针对性强，并能结合本工程施工的特点、要点、难点及施工工艺和施工方法的特殊要求，提出该项目的关键环节以及合理可行的监理对策，人员派驻计划安排科学合理，准确抓住项目的难点提出科学合理的监理对策并经评委认可，监理工作内容、原则、方法、措施和程序对项目特点、要点、难点问题可控制性强，完全切实可行。</w:t>
            </w:r>
          </w:p>
          <w:p>
            <w:pPr>
              <w:spacing w:line="360" w:lineRule="auto"/>
              <w:jc w:val="left"/>
              <w:rPr>
                <w:rFonts w:hint="eastAsia"/>
              </w:rPr>
            </w:pPr>
            <w:r>
              <w:rPr>
                <w:rFonts w:hint="eastAsia"/>
              </w:rPr>
              <w:t>良(11分)：分析本项目的施工特点、本工程涉及的施工要点、难点，对工程特点、要点、难点分析准确，有一定针对性，并能结合本工程施工的特点、要点、难点及施工工艺和施工方法的特殊要求，对工程特点、要点、难点分析基本准确，结合本项目的特点提出该项目的难点以及提出监理对策，人员派驻计划安排合理，监理工作内容、原则、方法、措施和程序对项目特点、要点、难点具有可控性，方法可行。</w:t>
            </w:r>
          </w:p>
          <w:p>
            <w:pPr>
              <w:spacing w:line="360" w:lineRule="auto"/>
              <w:jc w:val="left"/>
              <w:rPr>
                <w:rFonts w:hint="eastAsia"/>
              </w:rPr>
            </w:pPr>
            <w:r>
              <w:rPr>
                <w:rFonts w:hint="eastAsia"/>
              </w:rPr>
              <w:t>中(7分)：分析本项目的施工特点、本工程涉及的施工要点、难点，对工程特点、要点、难点分析准确，有一定针对性，对工程特点、难点分析基本准确但不够具体详细，但无针对性具体的监理对策，人员派驻计划安排基本可行，监理工作内容、原则、方法、措施和程序对项目特点、难点可控，方法可行。</w:t>
            </w:r>
          </w:p>
          <w:p>
            <w:pPr>
              <w:spacing w:line="360" w:lineRule="auto"/>
              <w:jc w:val="left"/>
              <w:rPr>
                <w:rFonts w:hint="eastAsia"/>
              </w:rPr>
            </w:pPr>
            <w:r>
              <w:rPr>
                <w:rFonts w:hint="eastAsia"/>
              </w:rPr>
              <w:t>差(3分)：无工程特点、要点、难点分析或分析不完整或仅复述本工程涉及的施工要点，无人员派驻计划，监理工作内容、原则、方法、措施和程序对项目特点、要点、难点分析不正确或不可控或存在无关本项目的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rPr>
                <w:rFonts w:hint="eastAsia"/>
              </w:rPr>
            </w:pPr>
            <w:r>
              <w:rPr>
                <w:rFonts w:hint="eastAsia"/>
              </w:rPr>
              <w:t>质量控制重点及监理措施(3.0~12.0分)</w:t>
            </w:r>
          </w:p>
        </w:tc>
        <w:tc>
          <w:tcPr>
            <w:tcW w:w="3434" w:type="pct"/>
            <w:tcMar>
              <w:left w:w="57" w:type="dxa"/>
              <w:right w:w="57" w:type="dxa"/>
            </w:tcMar>
          </w:tcPr>
          <w:p>
            <w:pPr>
              <w:spacing w:line="360" w:lineRule="auto"/>
              <w:jc w:val="left"/>
              <w:rPr>
                <w:rFonts w:hint="eastAsia"/>
              </w:rPr>
            </w:pPr>
            <w:r>
              <w:rPr>
                <w:rFonts w:hint="eastAsia"/>
              </w:rPr>
              <w:t>优(12分)：质量控制难点分析完整，考虑全面，且重点突出，并能结合本工程涉及的施工要点分析出各分部分项的质量控制难点，有先进完善的控制手段及处理手段（包括但不限于预防质量事故、主动控制质量事故措施、材料质量检查、施工工艺监管明确、质量检测手段、验收标准及流程、质量事故的处理程序等）；质量控制重点及监理措施方案，总体质量控制重点分析到位、明确；质量目标分解、规划科学合理；总体质量控制体系健全，质量控制措施有效可靠；</w:t>
            </w:r>
          </w:p>
          <w:p>
            <w:pPr>
              <w:spacing w:line="360" w:lineRule="auto"/>
              <w:jc w:val="left"/>
              <w:rPr>
                <w:rFonts w:hint="eastAsia"/>
              </w:rPr>
            </w:pPr>
            <w:r>
              <w:rPr>
                <w:rFonts w:hint="eastAsia"/>
              </w:rPr>
              <w:t>良(9分)：质量控制重点分析一般；质量目标分解、规划较合理，质量控制体系较健全，能结合本工程涉及的施工要点分析出各分部分项的质量控制难点，总体质量控制</w:t>
            </w:r>
          </w:p>
          <w:p>
            <w:pPr>
              <w:spacing w:line="360" w:lineRule="auto"/>
              <w:jc w:val="left"/>
              <w:rPr>
                <w:rFonts w:hint="eastAsia"/>
              </w:rPr>
            </w:pPr>
            <w:r>
              <w:rPr>
                <w:rFonts w:hint="eastAsia"/>
              </w:rPr>
              <w:t>措施较可靠（包括但不限于预防质量事故、主动控制质量事故措施、材料质量检查、施工工艺监管明确、质量检测手段、验收标准及流程），质量控制重点及监理措施方案的控制手段较完善。</w:t>
            </w:r>
          </w:p>
          <w:p>
            <w:pPr>
              <w:spacing w:line="360" w:lineRule="auto"/>
              <w:jc w:val="left"/>
              <w:rPr>
                <w:rFonts w:hint="eastAsia"/>
              </w:rPr>
            </w:pPr>
            <w:r>
              <w:rPr>
                <w:rFonts w:hint="eastAsia"/>
              </w:rPr>
              <w:t>中（6分）: 质量控制重点分析基本到位、明确；质量目标分解、规划基本合理，质量控制</w:t>
            </w:r>
            <w:r>
              <w:rPr>
                <w:rFonts w:hint="eastAsia"/>
                <w:lang w:val="en-US" w:eastAsia="zh-CN"/>
              </w:rPr>
              <w:t>体系</w:t>
            </w:r>
            <w:bookmarkStart w:id="3" w:name="_GoBack"/>
            <w:bookmarkEnd w:id="3"/>
            <w:r>
              <w:rPr>
                <w:rFonts w:hint="eastAsia"/>
              </w:rPr>
              <w:t>基本健全，能结合本工程涉及的施工要点分析出各分部分项的质量控制难点，质量控制重点及监理措施方案的质量控制措施基本可靠，控制手段基本完善。</w:t>
            </w:r>
          </w:p>
          <w:p>
            <w:pPr>
              <w:spacing w:line="360" w:lineRule="auto"/>
              <w:jc w:val="left"/>
              <w:rPr>
                <w:rFonts w:hint="eastAsia"/>
              </w:rPr>
            </w:pPr>
            <w:r>
              <w:rPr>
                <w:rFonts w:hint="eastAsia"/>
              </w:rPr>
              <w:t>差（3分）:质量控制重点分析不到位、不明确；质量目标分解、规划不合理，质量控制体系不健全，有质量控制措施，控制手段不够完善。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rPr>
                <w:rFonts w:hint="eastAsia"/>
              </w:rPr>
            </w:pPr>
            <w:r>
              <w:rPr>
                <w:rFonts w:hint="eastAsia"/>
              </w:rPr>
              <w:t>进度控制重点及监理措施(3.0~12.0分)</w:t>
            </w:r>
          </w:p>
        </w:tc>
        <w:tc>
          <w:tcPr>
            <w:tcW w:w="3434" w:type="pct"/>
            <w:tcMar>
              <w:left w:w="57" w:type="dxa"/>
              <w:right w:w="57" w:type="dxa"/>
            </w:tcMar>
          </w:tcPr>
          <w:p>
            <w:pPr>
              <w:spacing w:line="360" w:lineRule="auto"/>
              <w:jc w:val="left"/>
              <w:rPr>
                <w:rFonts w:hint="eastAsia"/>
              </w:rPr>
            </w:pPr>
            <w:r>
              <w:rPr>
                <w:rFonts w:hint="eastAsia"/>
              </w:rPr>
              <w:t>优(12分)：节点或阶段工期明确，施工界面划分合理，能对施工总进度计划进行有效分解，按月份及项目形象部位分解成“月进度”及“形象进度”的工程进度控制分解目标，月进度与形象进度相结合，进行有效的分解及结合，单体的节点与阶段工期与总工期关键形象进度一致；关键部位施工形象控制点的有效控制和管理，在确保施工质量的前提下，以确保月进度分解目标、实现工程总进度控制重点明确；能考虑到本项目影响施工工期的施工难点；工期总进度控制方法、流程、措施科学，有优化，工期进度安排十分明晰，能体现预控水平和全面控制水平，预控方法及手段明确工期控制点设置合理，且控制措施与手段可靠有力。</w:t>
            </w:r>
          </w:p>
          <w:p>
            <w:pPr>
              <w:spacing w:line="360" w:lineRule="auto"/>
              <w:jc w:val="left"/>
              <w:rPr>
                <w:rFonts w:hint="eastAsia"/>
              </w:rPr>
            </w:pPr>
            <w:r>
              <w:rPr>
                <w:rFonts w:hint="eastAsia"/>
              </w:rPr>
              <w:t>良(9分)：节点或阶段工期较明确，对施工总进度计划进行有效分解、进度控制重点较明确；工期总进度控制方法、流程、措施科学，有优化，工期控制点设置较合理，能考虑到本项目影响施工工期的施工难点，控制措施与手段可靠有力。</w:t>
            </w:r>
          </w:p>
          <w:p>
            <w:pPr>
              <w:spacing w:line="360" w:lineRule="auto"/>
              <w:jc w:val="left"/>
              <w:rPr>
                <w:rFonts w:hint="eastAsia"/>
              </w:rPr>
            </w:pPr>
            <w:r>
              <w:rPr>
                <w:rFonts w:hint="eastAsia"/>
              </w:rPr>
              <w:t>中（6分）:节点或阶段工期基本明确，进度控制重点基本明确；工期总进度控制方法、流程、措施基本科学，无优化，工期控制点设置基本合理，能考虑到本项目影响施工工期的施工难点，控制措施与手段基本可靠有力。</w:t>
            </w:r>
          </w:p>
          <w:p>
            <w:pPr>
              <w:spacing w:line="360" w:lineRule="auto"/>
              <w:jc w:val="left"/>
              <w:rPr>
                <w:rFonts w:hint="eastAsia"/>
              </w:rPr>
            </w:pPr>
            <w:r>
              <w:rPr>
                <w:rFonts w:hint="eastAsia"/>
              </w:rPr>
              <w:t>差（3分）: 有控制措施与手段，但节点或阶段工期不明确，进度控制重点不明确；工期总进度控制方法、流程、措施科学不全面，无优化，工期控制点设置不合理，未考虑到本项目影响施工工期的施工难点。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pPr>
            <w:r>
              <w:rPr>
                <w:rFonts w:hint="eastAsia" w:hAnsi="宋体"/>
              </w:rPr>
              <w:t>投资控制重点及监理措施(3.0~12.0分)</w:t>
            </w:r>
          </w:p>
        </w:tc>
        <w:tc>
          <w:tcPr>
            <w:tcW w:w="3434" w:type="pct"/>
            <w:tcMar>
              <w:left w:w="57" w:type="dxa"/>
              <w:right w:w="57" w:type="dxa"/>
            </w:tcMar>
          </w:tcPr>
          <w:p>
            <w:pPr>
              <w:spacing w:line="360" w:lineRule="auto"/>
              <w:jc w:val="left"/>
              <w:rPr>
                <w:szCs w:val="21"/>
              </w:rPr>
            </w:pPr>
            <w:r>
              <w:rPr>
                <w:rFonts w:hint="eastAsia"/>
                <w:szCs w:val="21"/>
              </w:rPr>
              <w:t>优(12分)：投资控制重点分析到位明确；针对本项目的风险预测与防范对策有效可行；即对项目工程造价目标进行风险分析、制定防范对策，认真审查工程变更方案、商议解决工程变更价款，严格监督控制工程计量措施、工程款支付及竣工结算等工作，为业主在施工阶段节约投资，使资金发挥最大的效益，能抓住工程费用最易超支的环节，明确投资控制重点；控制措施与手段健全；能兼顾工期与质量目标，落实招标人确定的资金流量；能提出有效的合理化建议（在保证质量及招标人使用需求的前提下，如采用新型材料、新工艺、合理的优化设计等），降低工程投资。</w:t>
            </w:r>
          </w:p>
          <w:p>
            <w:pPr>
              <w:spacing w:line="360" w:lineRule="auto"/>
              <w:jc w:val="left"/>
              <w:rPr>
                <w:rFonts w:hint="eastAsia"/>
                <w:szCs w:val="21"/>
              </w:rPr>
            </w:pPr>
            <w:r>
              <w:rPr>
                <w:rFonts w:hint="eastAsia"/>
                <w:szCs w:val="21"/>
              </w:rPr>
              <w:t>良(9分)：投资控制重点分析一般；风险预测与防范对策可行；即对项目工程造价目标进行风险分析、制定防范对策，认真审查工程变更方案、商议解决工程变更价款，严格监督控制工程计量措施、工程款支付及竣工结算等工作，能抓住工程费用最易超支的环节，明确投资控制重点；控制措施与手段较健全；能兼顾工期与质量目标，落实招标人确定的资金流量；有合理化建议，降低工程投资。</w:t>
            </w:r>
          </w:p>
          <w:p>
            <w:pPr>
              <w:spacing w:line="360" w:lineRule="auto"/>
              <w:jc w:val="left"/>
              <w:rPr>
                <w:rFonts w:hint="eastAsia"/>
                <w:szCs w:val="21"/>
              </w:rPr>
            </w:pPr>
            <w:r>
              <w:rPr>
                <w:rFonts w:hint="eastAsia"/>
                <w:szCs w:val="21"/>
              </w:rPr>
              <w:t>中（6分）: 投资控制重点分析到位基本明确；有风险预测与防范对策；明确投资控制重点；有控制措施与手段；基本能兼顾工期与质量目标，基本落实招标人确定的资金流量；有合理化建议，降低工程投资。</w:t>
            </w:r>
          </w:p>
          <w:p>
            <w:pPr>
              <w:spacing w:line="360" w:lineRule="auto"/>
              <w:jc w:val="left"/>
              <w:rPr>
                <w:rFonts w:hint="eastAsia" w:hAnsi="宋体"/>
                <w:szCs w:val="21"/>
              </w:rPr>
            </w:pPr>
            <w:r>
              <w:rPr>
                <w:rFonts w:hint="eastAsia"/>
                <w:szCs w:val="21"/>
              </w:rPr>
              <w:t>差（3分）: 投资控制重点分析不明确；有风险预测与防范对策；未明确投资控制重点；有控制措施与手段；不能兼顾工期与质量目标，落实招标人确定的资金流量；无控制措施与手段或不健全。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3"/>
            <w:tcMar>
              <w:left w:w="57" w:type="dxa"/>
              <w:right w:w="57" w:type="dxa"/>
            </w:tcMar>
          </w:tcPr>
          <w:p>
            <w:pPr>
              <w:spacing w:line="360" w:lineRule="auto"/>
              <w:jc w:val="left"/>
              <w:rPr>
                <w:rFonts w:hint="eastAsia" w:hAnsi="宋体"/>
                <w:szCs w:val="21"/>
              </w:rPr>
            </w:pPr>
            <w:r>
              <w:rPr>
                <w:rFonts w:hint="eastAsia" w:hAnsi="宋体"/>
                <w:szCs w:val="21"/>
              </w:rPr>
              <w:t>1.</w:t>
            </w:r>
            <w:r>
              <w:rPr>
                <w:rFonts w:hAnsi="宋体"/>
                <w:szCs w:val="21"/>
              </w:rPr>
              <w:t>评标委员会将根据综合评分从高到低对投标人进行排序。综合评分高的投标人优先推荐为中标候选人</w:t>
            </w:r>
            <w:r>
              <w:rPr>
                <w:rFonts w:hint="eastAsia" w:hAnsi="宋体"/>
                <w:szCs w:val="21"/>
              </w:rPr>
              <w:t>；</w:t>
            </w:r>
          </w:p>
          <w:p>
            <w:pPr>
              <w:spacing w:line="360" w:lineRule="auto"/>
              <w:jc w:val="left"/>
              <w:rPr>
                <w:szCs w:val="21"/>
              </w:rPr>
            </w:pPr>
            <w:r>
              <w:rPr>
                <w:rFonts w:hint="eastAsia" w:hAnsi="宋体"/>
                <w:szCs w:val="21"/>
              </w:rPr>
              <w:t>2.</w:t>
            </w:r>
            <w:r>
              <w:rPr>
                <w:rFonts w:hAnsi="宋体"/>
                <w:szCs w:val="21"/>
              </w:rPr>
              <w:t>若综合评分相同，则以下浮系数高的投标人优先推荐为中标候选人</w:t>
            </w:r>
            <w:r>
              <w:rPr>
                <w:rFonts w:hint="eastAsia" w:hAnsi="宋体"/>
                <w:szCs w:val="21"/>
              </w:rPr>
              <w:t>。</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53A6F"/>
    <w:rsid w:val="00261917"/>
    <w:rsid w:val="003757D3"/>
    <w:rsid w:val="003E48A4"/>
    <w:rsid w:val="003F35C7"/>
    <w:rsid w:val="00401CD4"/>
    <w:rsid w:val="00432DD3"/>
    <w:rsid w:val="005A26C6"/>
    <w:rsid w:val="005F7A5C"/>
    <w:rsid w:val="00685E42"/>
    <w:rsid w:val="0073784C"/>
    <w:rsid w:val="00746E02"/>
    <w:rsid w:val="00793F2C"/>
    <w:rsid w:val="00A4175F"/>
    <w:rsid w:val="00C004BB"/>
    <w:rsid w:val="00DB6855"/>
    <w:rsid w:val="00FA59B9"/>
    <w:rsid w:val="00FF2E33"/>
    <w:rsid w:val="04461020"/>
    <w:rsid w:val="04BF5769"/>
    <w:rsid w:val="06156D08"/>
    <w:rsid w:val="08943DF7"/>
    <w:rsid w:val="11E9219A"/>
    <w:rsid w:val="1D64319F"/>
    <w:rsid w:val="1E0679D3"/>
    <w:rsid w:val="27165584"/>
    <w:rsid w:val="2C080871"/>
    <w:rsid w:val="2DF33D2D"/>
    <w:rsid w:val="366827D2"/>
    <w:rsid w:val="3F8C0999"/>
    <w:rsid w:val="4EB53A6F"/>
    <w:rsid w:val="50792708"/>
    <w:rsid w:val="523F2773"/>
    <w:rsid w:val="53564AC4"/>
    <w:rsid w:val="65A22B26"/>
    <w:rsid w:val="67884F13"/>
    <w:rsid w:val="68F95C11"/>
    <w:rsid w:val="6D2A23DC"/>
    <w:rsid w:val="74AA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kern w:val="44"/>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adjustRightInd w:val="0"/>
      <w:spacing w:line="360" w:lineRule="atLeast"/>
      <w:jc w:val="left"/>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3"/>
    <w:qFormat/>
    <w:uiPriority w:val="0"/>
    <w:pPr>
      <w:adjustRightInd/>
      <w:spacing w:line="240" w:lineRule="auto"/>
    </w:pPr>
    <w:rPr>
      <w:b/>
      <w:bCs/>
      <w:sz w:val="21"/>
    </w:rPr>
  </w:style>
  <w:style w:type="character" w:styleId="10">
    <w:name w:val="Strong"/>
    <w:basedOn w:val="9"/>
    <w:qFormat/>
    <w:uiPriority w:val="0"/>
    <w:rPr>
      <w:b/>
    </w:rPr>
  </w:style>
  <w:style w:type="character" w:styleId="11">
    <w:name w:val="annotation reference"/>
    <w:qFormat/>
    <w:uiPriority w:val="0"/>
    <w:rPr>
      <w:sz w:val="21"/>
      <w:szCs w:val="21"/>
    </w:rPr>
  </w:style>
  <w:style w:type="character" w:customStyle="1" w:styleId="12">
    <w:name w:val="批注文字 字符"/>
    <w:basedOn w:val="9"/>
    <w:link w:val="3"/>
    <w:qFormat/>
    <w:uiPriority w:val="0"/>
    <w:rPr>
      <w:kern w:val="2"/>
      <w:sz w:val="24"/>
      <w:szCs w:val="24"/>
    </w:rPr>
  </w:style>
  <w:style w:type="character" w:customStyle="1" w:styleId="13">
    <w:name w:val="批注主题 字符"/>
    <w:basedOn w:val="12"/>
    <w:link w:val="7"/>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3260</Words>
  <Characters>3341</Characters>
  <Lines>184</Lines>
  <Paragraphs>166</Paragraphs>
  <TotalTime>10</TotalTime>
  <ScaleCrop>false</ScaleCrop>
  <LinksUpToDate>false</LinksUpToDate>
  <CharactersWithSpaces>3353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2025-06-04T07:28:00Z</dcterms:created>
  <dc:creator>徐舞渺</dc:creator>
  <cp:lastModifiedBy>XM</cp:lastModifiedBy>
  <dcterms:modified xsi:type="dcterms:W3CDTF">2025-06-24T09:05:46Z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21027AD4A98243C2B6EC065C4B9571BD</vt:lpwstr>
  </property>
  <property fmtid="{D5CDD505-2E9C-101B-9397-08002B2CF9AE}" pid="4" name="KSOTemplateDocerSaveRecord">
    <vt:lpwstr>eyJoZGlkIjoiYWQ1YjhjNTg3N2MyZDFkZjZhODE3NTMxMDE4N2RmNzUiLCJ1c2VySWQiOiI0NDIwMTQ1OTUifQ==</vt:lpwstr>
  </property>
</Properties>
</file>