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sz w:val="28"/>
          <w:szCs w:val="22"/>
          <w:lang w:val="en-US" w:eastAsia="zh-CN"/>
        </w:rPr>
      </w:pPr>
      <w:bookmarkStart w:id="0" w:name="_Toc459567788"/>
      <w:bookmarkStart w:id="1" w:name="_Toc195286314"/>
      <w:bookmarkStart w:id="2" w:name="_Toc392940984"/>
      <w:r>
        <w:rPr>
          <w:rFonts w:hint="eastAsia"/>
          <w:sz w:val="28"/>
          <w:szCs w:val="22"/>
          <w:lang w:val="en-US" w:eastAsia="zh-CN"/>
        </w:rPr>
        <w:t>附件：</w:t>
      </w:r>
    </w:p>
    <w:p>
      <w:pPr>
        <w:pStyle w:val="2"/>
        <w:rPr>
          <w:sz w:val="30"/>
          <w:szCs w:val="30"/>
        </w:rPr>
      </w:pPr>
      <w:r>
        <w:rPr>
          <w:rFonts w:hint="eastAsia"/>
          <w:lang w:val="en-US" w:eastAsia="zh-CN"/>
        </w:rPr>
        <w:t>评分</w:t>
      </w:r>
      <w:r>
        <w:t>办法</w:t>
      </w:r>
      <w:bookmarkEnd w:id="0"/>
      <w:bookmarkEnd w:id="1"/>
      <w:bookmarkEnd w:id="2"/>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737"/>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pct"/>
            <w:shd w:val="clear" w:color="auto" w:fill="E6E6E6"/>
            <w:noWrap w:val="0"/>
            <w:tcMar>
              <w:left w:w="57" w:type="dxa"/>
              <w:right w:w="57" w:type="dxa"/>
            </w:tcMar>
            <w:vAlign w:val="center"/>
          </w:tcPr>
          <w:p>
            <w:pPr>
              <w:spacing w:line="360" w:lineRule="auto"/>
              <w:jc w:val="center"/>
              <w:rPr>
                <w:b/>
                <w:szCs w:val="21"/>
              </w:rPr>
            </w:pPr>
            <w:r>
              <w:rPr>
                <w:rFonts w:hAnsi="宋体"/>
                <w:b/>
                <w:szCs w:val="21"/>
              </w:rPr>
              <w:t>评审因素</w:t>
            </w:r>
          </w:p>
        </w:tc>
        <w:tc>
          <w:tcPr>
            <w:tcW w:w="4174" w:type="pct"/>
            <w:gridSpan w:val="2"/>
            <w:shd w:val="clear" w:color="auto" w:fill="E6E6E6"/>
            <w:noWrap w:val="0"/>
            <w:tcMar>
              <w:left w:w="57" w:type="dxa"/>
              <w:right w:w="57" w:type="dxa"/>
            </w:tcMar>
            <w:vAlign w:val="center"/>
          </w:tcPr>
          <w:p>
            <w:pPr>
              <w:spacing w:line="360" w:lineRule="auto"/>
              <w:jc w:val="center"/>
              <w:rPr>
                <w:b/>
                <w:szCs w:val="21"/>
              </w:rPr>
            </w:pPr>
            <w:r>
              <w:rPr>
                <w:rFonts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exact"/>
          <w:jc w:val="center"/>
        </w:trPr>
        <w:tc>
          <w:tcPr>
            <w:tcW w:w="825" w:type="pct"/>
            <w:vMerge w:val="restart"/>
            <w:noWrap w:val="0"/>
            <w:tcMar>
              <w:left w:w="57" w:type="dxa"/>
              <w:right w:w="57" w:type="dxa"/>
            </w:tcMar>
            <w:vAlign w:val="center"/>
          </w:tcPr>
          <w:p>
            <w:pPr>
              <w:spacing w:line="360" w:lineRule="auto"/>
              <w:jc w:val="center"/>
              <w:rPr>
                <w:szCs w:val="21"/>
              </w:rPr>
            </w:pPr>
            <w:r>
              <w:rPr>
                <w:rFonts w:hAnsi="宋体"/>
                <w:szCs w:val="21"/>
              </w:rPr>
              <w:t>资格评审</w:t>
            </w:r>
          </w:p>
          <w:p>
            <w:pPr>
              <w:spacing w:line="360" w:lineRule="auto"/>
              <w:jc w:val="center"/>
              <w:rPr>
                <w:rFonts w:hAnsi="宋体"/>
                <w:szCs w:val="21"/>
              </w:rPr>
            </w:pPr>
            <w:r>
              <w:rPr>
                <w:rFonts w:hAnsi="宋体"/>
                <w:szCs w:val="21"/>
              </w:rPr>
              <w:t>标</w:t>
            </w:r>
            <w:r>
              <w:rPr>
                <w:szCs w:val="21"/>
              </w:rPr>
              <w:t xml:space="preserve">   </w:t>
            </w:r>
            <w:r>
              <w:rPr>
                <w:rFonts w:hAnsi="宋体"/>
                <w:szCs w:val="21"/>
              </w:rPr>
              <w:t>准</w:t>
            </w:r>
          </w:p>
        </w:tc>
        <w:tc>
          <w:tcPr>
            <w:tcW w:w="4174" w:type="pct"/>
            <w:gridSpan w:val="2"/>
            <w:noWrap w:val="0"/>
            <w:tcMar>
              <w:left w:w="57" w:type="dxa"/>
              <w:right w:w="57" w:type="dxa"/>
            </w:tcMar>
            <w:vAlign w:val="center"/>
          </w:tcPr>
          <w:p>
            <w:pPr>
              <w:spacing w:line="360" w:lineRule="auto"/>
              <w:jc w:val="left"/>
              <w:rPr>
                <w:szCs w:val="21"/>
              </w:rPr>
            </w:pPr>
            <w:r>
              <w:rPr>
                <w:rFonts w:hint="eastAsia" w:cs="宋体"/>
                <w:b/>
                <w:bCs/>
                <w:color w:val="000000"/>
              </w:rPr>
              <w:t>合格标准：缺少任何一项或有任何一项不合格者，其资格审查视为不合格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exact"/>
          <w:jc w:val="center"/>
        </w:trPr>
        <w:tc>
          <w:tcPr>
            <w:tcW w:w="825" w:type="pct"/>
            <w:vMerge w:val="continue"/>
            <w:noWrap w:val="0"/>
            <w:tcMar>
              <w:left w:w="57" w:type="dxa"/>
              <w:right w:w="57" w:type="dxa"/>
            </w:tcMar>
            <w:vAlign w:val="center"/>
          </w:tcPr>
          <w:p>
            <w:pPr>
              <w:spacing w:line="360" w:lineRule="auto"/>
              <w:jc w:val="center"/>
              <w:rPr>
                <w:szCs w:val="21"/>
              </w:rPr>
            </w:pPr>
          </w:p>
        </w:tc>
        <w:tc>
          <w:tcPr>
            <w:tcW w:w="1032" w:type="pct"/>
            <w:noWrap w:val="0"/>
            <w:tcMar>
              <w:left w:w="57" w:type="dxa"/>
              <w:right w:w="57" w:type="dxa"/>
            </w:tcMar>
            <w:vAlign w:val="center"/>
          </w:tcPr>
          <w:p>
            <w:pPr>
              <w:spacing w:line="360" w:lineRule="auto"/>
              <w:jc w:val="center"/>
              <w:rPr>
                <w:szCs w:val="21"/>
              </w:rPr>
            </w:pPr>
            <w:r>
              <w:rPr>
                <w:rFonts w:hAnsi="宋体"/>
                <w:szCs w:val="21"/>
              </w:rPr>
              <w:t>营业执照</w:t>
            </w:r>
          </w:p>
        </w:tc>
        <w:tc>
          <w:tcPr>
            <w:tcW w:w="3142" w:type="pct"/>
            <w:noWrap w:val="0"/>
            <w:vAlign w:val="center"/>
          </w:tcPr>
          <w:p>
            <w:pPr>
              <w:spacing w:line="360" w:lineRule="auto"/>
              <w:jc w:val="center"/>
              <w:rPr>
                <w:szCs w:val="21"/>
              </w:rPr>
            </w:pPr>
            <w:r>
              <w:rPr>
                <w:rFonts w:hAnsi="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825" w:type="pct"/>
            <w:vMerge w:val="continue"/>
            <w:noWrap w:val="0"/>
            <w:tcMar>
              <w:left w:w="57" w:type="dxa"/>
              <w:right w:w="57" w:type="dxa"/>
            </w:tcMar>
            <w:vAlign w:val="center"/>
          </w:tcPr>
          <w:p>
            <w:pPr>
              <w:spacing w:line="360" w:lineRule="auto"/>
              <w:jc w:val="center"/>
              <w:rPr>
                <w:szCs w:val="21"/>
              </w:rPr>
            </w:pPr>
          </w:p>
        </w:tc>
        <w:tc>
          <w:tcPr>
            <w:tcW w:w="1032" w:type="pct"/>
            <w:noWrap w:val="0"/>
            <w:tcMar>
              <w:left w:w="57" w:type="dxa"/>
              <w:right w:w="57" w:type="dxa"/>
            </w:tcMar>
            <w:vAlign w:val="center"/>
          </w:tcPr>
          <w:p>
            <w:pPr>
              <w:spacing w:line="360" w:lineRule="auto"/>
              <w:jc w:val="center"/>
              <w:rPr>
                <w:szCs w:val="21"/>
              </w:rPr>
            </w:pPr>
            <w:r>
              <w:rPr>
                <w:rFonts w:hAnsi="宋体"/>
                <w:szCs w:val="21"/>
              </w:rPr>
              <w:t>资质等级</w:t>
            </w:r>
          </w:p>
        </w:tc>
        <w:tc>
          <w:tcPr>
            <w:tcW w:w="3142" w:type="pct"/>
            <w:noWrap w:val="0"/>
            <w:vAlign w:val="center"/>
          </w:tcPr>
          <w:p>
            <w:pPr>
              <w:spacing w:line="360" w:lineRule="auto"/>
              <w:jc w:val="center"/>
              <w:rPr>
                <w:rFonts w:hint="default" w:eastAsia="宋体"/>
                <w:szCs w:val="21"/>
                <w:lang w:val="en-US" w:eastAsia="zh-CN"/>
              </w:rPr>
            </w:pPr>
            <w:r>
              <w:rPr>
                <w:rFonts w:hint="eastAsia"/>
                <w:szCs w:val="21"/>
                <w:lang w:val="en-US" w:eastAsia="zh-CN"/>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pct"/>
            <w:vMerge w:val="continue"/>
            <w:noWrap w:val="0"/>
            <w:tcMar>
              <w:left w:w="57" w:type="dxa"/>
              <w:right w:w="57" w:type="dxa"/>
            </w:tcMar>
            <w:vAlign w:val="center"/>
          </w:tcPr>
          <w:p>
            <w:pPr>
              <w:spacing w:line="360" w:lineRule="auto"/>
              <w:jc w:val="center"/>
              <w:rPr>
                <w:szCs w:val="21"/>
              </w:rPr>
            </w:pPr>
          </w:p>
        </w:tc>
        <w:tc>
          <w:tcPr>
            <w:tcW w:w="1032" w:type="pct"/>
            <w:noWrap w:val="0"/>
            <w:tcMar>
              <w:left w:w="57" w:type="dxa"/>
              <w:right w:w="57" w:type="dxa"/>
            </w:tcMar>
            <w:vAlign w:val="center"/>
          </w:tcPr>
          <w:p>
            <w:pPr>
              <w:spacing w:line="360" w:lineRule="auto"/>
              <w:jc w:val="center"/>
              <w:rPr>
                <w:szCs w:val="21"/>
              </w:rPr>
            </w:pPr>
            <w:r>
              <w:rPr>
                <w:rFonts w:hAnsi="宋体"/>
                <w:szCs w:val="21"/>
              </w:rPr>
              <w:t>总监理工程师</w:t>
            </w:r>
          </w:p>
        </w:tc>
        <w:tc>
          <w:tcPr>
            <w:tcW w:w="3142" w:type="pct"/>
            <w:noWrap w:val="0"/>
            <w:vAlign w:val="center"/>
          </w:tcPr>
          <w:p>
            <w:pPr>
              <w:spacing w:line="360" w:lineRule="auto"/>
              <w:jc w:val="center"/>
              <w:rPr>
                <w:szCs w:val="21"/>
              </w:rPr>
            </w:pPr>
            <w:r>
              <w:rPr>
                <w:rFonts w:hint="eastAsia"/>
                <w:szCs w:val="21"/>
                <w:lang w:val="en-US" w:eastAsia="zh-CN"/>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pct"/>
            <w:vMerge w:val="restart"/>
            <w:noWrap w:val="0"/>
            <w:tcMar>
              <w:left w:w="57" w:type="dxa"/>
              <w:right w:w="57" w:type="dxa"/>
            </w:tcMar>
            <w:vAlign w:val="center"/>
          </w:tcPr>
          <w:p>
            <w:pPr>
              <w:spacing w:line="360" w:lineRule="auto"/>
              <w:jc w:val="center"/>
              <w:rPr>
                <w:szCs w:val="21"/>
              </w:rPr>
            </w:pPr>
            <w:r>
              <w:rPr>
                <w:rFonts w:hAnsi="宋体"/>
                <w:szCs w:val="21"/>
              </w:rPr>
              <w:t>符</w:t>
            </w:r>
            <w:r>
              <w:rPr>
                <w:szCs w:val="21"/>
              </w:rPr>
              <w:t xml:space="preserve"> </w:t>
            </w:r>
            <w:r>
              <w:rPr>
                <w:rFonts w:hAnsi="宋体"/>
                <w:szCs w:val="21"/>
              </w:rPr>
              <w:t>合</w:t>
            </w:r>
            <w:r>
              <w:rPr>
                <w:szCs w:val="21"/>
              </w:rPr>
              <w:t xml:space="preserve"> </w:t>
            </w:r>
            <w:r>
              <w:rPr>
                <w:rFonts w:hAnsi="宋体"/>
                <w:szCs w:val="21"/>
              </w:rPr>
              <w:t>性</w:t>
            </w:r>
          </w:p>
          <w:p>
            <w:pPr>
              <w:spacing w:line="360" w:lineRule="auto"/>
              <w:jc w:val="center"/>
              <w:rPr>
                <w:rFonts w:hint="eastAsia"/>
                <w:strike/>
                <w:color w:val="0070C0"/>
                <w:szCs w:val="21"/>
              </w:rPr>
            </w:pPr>
            <w:r>
              <w:rPr>
                <w:rFonts w:hAnsi="宋体"/>
                <w:szCs w:val="21"/>
              </w:rPr>
              <w:t>评审标准</w:t>
            </w:r>
          </w:p>
        </w:tc>
        <w:tc>
          <w:tcPr>
            <w:tcW w:w="4174" w:type="pct"/>
            <w:gridSpan w:val="2"/>
            <w:noWrap w:val="0"/>
            <w:tcMar>
              <w:left w:w="57" w:type="dxa"/>
              <w:right w:w="57" w:type="dxa"/>
            </w:tcMar>
            <w:vAlign w:val="center"/>
          </w:tcPr>
          <w:p>
            <w:pPr>
              <w:spacing w:line="360" w:lineRule="auto"/>
              <w:jc w:val="left"/>
              <w:rPr>
                <w:b/>
                <w:bCs/>
                <w:szCs w:val="21"/>
              </w:rPr>
            </w:pPr>
            <w:r>
              <w:rPr>
                <w:rFonts w:hint="eastAsia" w:hAnsi="宋体"/>
                <w:b/>
                <w:bCs/>
                <w:szCs w:val="21"/>
              </w:rPr>
              <w:t>合格标准：有任何一项不合格者，其</w:t>
            </w:r>
            <w:r>
              <w:rPr>
                <w:rFonts w:hAnsi="宋体"/>
                <w:b/>
                <w:bCs/>
                <w:szCs w:val="21"/>
              </w:rPr>
              <w:t>符合性评审</w:t>
            </w:r>
            <w:r>
              <w:rPr>
                <w:rFonts w:hint="eastAsia" w:hAnsi="宋体"/>
                <w:b/>
                <w:bCs/>
                <w:szCs w:val="21"/>
              </w:rPr>
              <w:t>均视为不合格</w:t>
            </w:r>
          </w:p>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pct"/>
            <w:vMerge w:val="continue"/>
            <w:noWrap w:val="0"/>
            <w:tcMar>
              <w:left w:w="57" w:type="dxa"/>
              <w:right w:w="57" w:type="dxa"/>
            </w:tcMar>
            <w:vAlign w:val="center"/>
          </w:tcPr>
          <w:p>
            <w:pPr>
              <w:spacing w:line="360" w:lineRule="auto"/>
              <w:jc w:val="center"/>
              <w:rPr>
                <w:rFonts w:hAnsi="宋体"/>
                <w:szCs w:val="21"/>
              </w:rPr>
            </w:pPr>
          </w:p>
        </w:tc>
        <w:tc>
          <w:tcPr>
            <w:tcW w:w="1032" w:type="pct"/>
            <w:noWrap w:val="0"/>
            <w:tcMar>
              <w:left w:w="57" w:type="dxa"/>
              <w:right w:w="57" w:type="dxa"/>
            </w:tcMar>
            <w:vAlign w:val="center"/>
          </w:tcPr>
          <w:p>
            <w:pPr>
              <w:spacing w:line="360" w:lineRule="auto"/>
              <w:jc w:val="center"/>
              <w:rPr>
                <w:rFonts w:hAnsi="宋体"/>
                <w:szCs w:val="21"/>
              </w:rPr>
            </w:pPr>
            <w:r>
              <w:rPr>
                <w:rFonts w:hAnsi="宋体"/>
                <w:szCs w:val="21"/>
              </w:rPr>
              <w:t>投标人名称</w:t>
            </w:r>
          </w:p>
        </w:tc>
        <w:tc>
          <w:tcPr>
            <w:tcW w:w="3142" w:type="pct"/>
            <w:noWrap w:val="0"/>
            <w:vAlign w:val="center"/>
          </w:tcPr>
          <w:p>
            <w:pPr>
              <w:spacing w:line="360" w:lineRule="auto"/>
              <w:jc w:val="center"/>
              <w:rPr>
                <w:rFonts w:hAnsi="宋体"/>
                <w:szCs w:val="21"/>
              </w:rPr>
            </w:pPr>
            <w:r>
              <w:rPr>
                <w:rFonts w:hAns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825" w:type="pct"/>
            <w:vMerge w:val="continue"/>
            <w:noWrap w:val="0"/>
            <w:tcMar>
              <w:left w:w="57" w:type="dxa"/>
              <w:right w:w="57" w:type="dxa"/>
            </w:tcMar>
            <w:vAlign w:val="center"/>
          </w:tcPr>
          <w:p>
            <w:pPr>
              <w:spacing w:line="360" w:lineRule="auto"/>
              <w:jc w:val="center"/>
              <w:rPr>
                <w:szCs w:val="21"/>
              </w:rPr>
            </w:pPr>
          </w:p>
        </w:tc>
        <w:tc>
          <w:tcPr>
            <w:tcW w:w="1032" w:type="pct"/>
            <w:noWrap w:val="0"/>
            <w:tcMar>
              <w:left w:w="57" w:type="dxa"/>
              <w:right w:w="57" w:type="dxa"/>
            </w:tcMar>
            <w:vAlign w:val="center"/>
          </w:tcPr>
          <w:p>
            <w:pPr>
              <w:spacing w:line="360" w:lineRule="auto"/>
              <w:jc w:val="center"/>
              <w:rPr>
                <w:szCs w:val="21"/>
              </w:rPr>
            </w:pPr>
            <w:r>
              <w:rPr>
                <w:rFonts w:hAnsi="宋体"/>
                <w:szCs w:val="21"/>
              </w:rPr>
              <w:t>投标</w:t>
            </w:r>
            <w:r>
              <w:rPr>
                <w:rFonts w:hint="eastAsia" w:hAnsi="宋体"/>
                <w:szCs w:val="21"/>
              </w:rPr>
              <w:t>文件</w:t>
            </w:r>
            <w:r>
              <w:rPr>
                <w:rFonts w:hAnsi="宋体"/>
                <w:szCs w:val="21"/>
              </w:rPr>
              <w:t>盖章</w:t>
            </w:r>
          </w:p>
        </w:tc>
        <w:tc>
          <w:tcPr>
            <w:tcW w:w="3142" w:type="pct"/>
            <w:noWrap w:val="0"/>
            <w:vAlign w:val="center"/>
          </w:tcPr>
          <w:p>
            <w:pPr>
              <w:spacing w:line="360" w:lineRule="auto"/>
              <w:jc w:val="center"/>
              <w:rPr>
                <w:szCs w:val="21"/>
              </w:rPr>
            </w:pPr>
            <w:r>
              <w:rPr>
                <w:rFonts w:hint="eastAsia"/>
                <w:szCs w:val="21"/>
              </w:rPr>
              <w:t>盖投标人法</w:t>
            </w:r>
            <w:r>
              <w:rPr>
                <w:szCs w:val="21"/>
              </w:rPr>
              <w:t>人单位</w:t>
            </w:r>
            <w:r>
              <w:rPr>
                <w:rFonts w:hint="eastAsia"/>
                <w:szCs w:val="21"/>
              </w:rPr>
              <w:t>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pct"/>
            <w:vMerge w:val="continue"/>
            <w:noWrap w:val="0"/>
            <w:tcMar>
              <w:left w:w="57" w:type="dxa"/>
              <w:right w:w="57" w:type="dxa"/>
            </w:tcMar>
            <w:vAlign w:val="center"/>
          </w:tcPr>
          <w:p>
            <w:pPr>
              <w:spacing w:line="360" w:lineRule="auto"/>
              <w:jc w:val="center"/>
              <w:rPr>
                <w:szCs w:val="21"/>
              </w:rPr>
            </w:pPr>
          </w:p>
        </w:tc>
        <w:tc>
          <w:tcPr>
            <w:tcW w:w="1032" w:type="pct"/>
            <w:noWrap w:val="0"/>
            <w:tcMar>
              <w:left w:w="57" w:type="dxa"/>
              <w:right w:w="57" w:type="dxa"/>
            </w:tcMar>
            <w:vAlign w:val="center"/>
          </w:tcPr>
          <w:p>
            <w:pPr>
              <w:spacing w:line="360" w:lineRule="auto"/>
              <w:jc w:val="center"/>
              <w:rPr>
                <w:szCs w:val="21"/>
              </w:rPr>
            </w:pPr>
            <w:r>
              <w:rPr>
                <w:rFonts w:hAnsi="宋体"/>
                <w:szCs w:val="21"/>
              </w:rPr>
              <w:t>投标报价</w:t>
            </w:r>
          </w:p>
        </w:tc>
        <w:tc>
          <w:tcPr>
            <w:tcW w:w="3142" w:type="pct"/>
            <w:noWrap w:val="0"/>
            <w:vAlign w:val="center"/>
          </w:tcPr>
          <w:p>
            <w:pPr>
              <w:spacing w:line="360" w:lineRule="auto"/>
              <w:jc w:val="center"/>
              <w:rPr>
                <w:szCs w:val="21"/>
              </w:rPr>
            </w:pPr>
            <w:r>
              <w:rPr>
                <w:rFonts w:hint="eastAsia"/>
                <w:szCs w:val="21"/>
                <w:lang w:val="en-US" w:eastAsia="zh-CN"/>
              </w:rPr>
              <w:t>符合采购公告要求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25" w:type="pct"/>
            <w:vMerge w:val="restart"/>
            <w:noWrap w:val="0"/>
            <w:tcMar>
              <w:left w:w="57" w:type="dxa"/>
              <w:right w:w="57" w:type="dxa"/>
            </w:tcMar>
            <w:vAlign w:val="top"/>
          </w:tcPr>
          <w:p>
            <w:pPr>
              <w:spacing w:line="360" w:lineRule="auto"/>
              <w:jc w:val="center"/>
              <w:rPr>
                <w:rFonts w:hint="default" w:eastAsia="宋体"/>
                <w:color w:val="auto"/>
                <w:szCs w:val="21"/>
                <w:lang w:val="en-US" w:eastAsia="zh-CN"/>
              </w:rPr>
            </w:pPr>
            <w:r>
              <w:rPr>
                <w:rFonts w:hint="eastAsia"/>
                <w:color w:val="auto"/>
                <w:szCs w:val="21"/>
                <w:lang w:val="en-US" w:eastAsia="zh-CN"/>
              </w:rPr>
              <w:t>评分标准</w:t>
            </w:r>
          </w:p>
          <w:p>
            <w:pPr>
              <w:spacing w:line="360" w:lineRule="auto"/>
              <w:jc w:val="center"/>
              <w:rPr>
                <w:color w:val="auto"/>
                <w:szCs w:val="21"/>
              </w:rPr>
            </w:pPr>
            <w:r>
              <w:rPr>
                <w:rFonts w:hint="eastAsia"/>
                <w:color w:val="auto"/>
                <w:szCs w:val="21"/>
              </w:rPr>
              <w:t>（满分10</w:t>
            </w:r>
            <w:r>
              <w:rPr>
                <w:color w:val="auto"/>
                <w:szCs w:val="21"/>
              </w:rPr>
              <w:t>0</w:t>
            </w:r>
            <w:r>
              <w:rPr>
                <w:rFonts w:hint="eastAsia"/>
                <w:color w:val="auto"/>
                <w:szCs w:val="21"/>
              </w:rPr>
              <w:t>）</w:t>
            </w:r>
          </w:p>
        </w:tc>
        <w:tc>
          <w:tcPr>
            <w:tcW w:w="1032" w:type="pct"/>
            <w:noWrap w:val="0"/>
            <w:tcMar>
              <w:left w:w="57" w:type="dxa"/>
              <w:right w:w="57" w:type="dxa"/>
            </w:tcMar>
            <w:vAlign w:val="top"/>
          </w:tcPr>
          <w:p>
            <w:pPr>
              <w:spacing w:line="360" w:lineRule="auto"/>
              <w:jc w:val="left"/>
              <w:rPr>
                <w:color w:val="auto"/>
                <w:szCs w:val="21"/>
              </w:rPr>
            </w:pPr>
            <w:r>
              <w:rPr>
                <w:rFonts w:hint="eastAsia" w:hAnsi="宋体"/>
                <w:color w:val="auto"/>
                <w:szCs w:val="21"/>
              </w:rPr>
              <w:t>总监理工程师资格</w:t>
            </w:r>
            <w:r>
              <w:rPr>
                <w:rFonts w:hAnsi="宋体"/>
                <w:color w:val="auto"/>
                <w:szCs w:val="21"/>
              </w:rPr>
              <w:t>（</w:t>
            </w:r>
            <w:r>
              <w:rPr>
                <w:rFonts w:hint="eastAsia" w:hAnsi="宋体"/>
                <w:color w:val="auto"/>
                <w:szCs w:val="21"/>
              </w:rPr>
              <w:t>0.0</w:t>
            </w:r>
            <w:r>
              <w:rPr>
                <w:rFonts w:hint="eastAsia"/>
                <w:color w:val="auto"/>
                <w:szCs w:val="21"/>
              </w:rPr>
              <w:t>~</w:t>
            </w:r>
            <w:r>
              <w:rPr>
                <w:color w:val="auto"/>
                <w:szCs w:val="21"/>
              </w:rPr>
              <w:t>3</w:t>
            </w:r>
            <w:r>
              <w:rPr>
                <w:rFonts w:hint="eastAsia"/>
                <w:color w:val="auto"/>
                <w:szCs w:val="21"/>
              </w:rPr>
              <w:t>0</w:t>
            </w:r>
            <w:r>
              <w:rPr>
                <w:rFonts w:hAnsi="宋体"/>
                <w:color w:val="auto"/>
                <w:szCs w:val="21"/>
              </w:rPr>
              <w:t>分）</w:t>
            </w:r>
          </w:p>
        </w:tc>
        <w:tc>
          <w:tcPr>
            <w:tcW w:w="3142" w:type="pct"/>
            <w:noWrap w:val="0"/>
            <w:tcMar>
              <w:left w:w="57" w:type="dxa"/>
              <w:right w:w="57" w:type="dxa"/>
            </w:tcMar>
            <w:vAlign w:val="top"/>
          </w:tcPr>
          <w:p>
            <w:pPr>
              <w:spacing w:line="360" w:lineRule="auto"/>
              <w:jc w:val="left"/>
              <w:rPr>
                <w:color w:val="auto"/>
              </w:rPr>
            </w:pPr>
            <w:r>
              <w:rPr>
                <w:rFonts w:hAnsi="宋体"/>
                <w:color w:val="auto"/>
                <w:szCs w:val="21"/>
              </w:rPr>
              <w:t>总监理工程师职称</w:t>
            </w:r>
            <w:r>
              <w:rPr>
                <w:rFonts w:hint="eastAsia" w:hAnsi="宋体"/>
                <w:color w:val="auto"/>
                <w:szCs w:val="21"/>
              </w:rPr>
              <w:t>、学历：具有</w:t>
            </w:r>
            <w:r>
              <w:rPr>
                <w:rFonts w:hint="eastAsia" w:hAnsi="宋体"/>
                <w:color w:val="auto"/>
                <w:szCs w:val="21"/>
                <w:lang w:val="en-US" w:eastAsia="zh-CN"/>
              </w:rPr>
              <w:t>中</w:t>
            </w:r>
            <w:r>
              <w:rPr>
                <w:rFonts w:hint="eastAsia" w:hAnsi="宋体"/>
                <w:color w:val="auto"/>
                <w:szCs w:val="21"/>
              </w:rPr>
              <w:t>级</w:t>
            </w:r>
            <w:r>
              <w:rPr>
                <w:rFonts w:hAnsi="宋体"/>
                <w:color w:val="auto"/>
                <w:szCs w:val="21"/>
              </w:rPr>
              <w:t>工程师</w:t>
            </w:r>
            <w:r>
              <w:rPr>
                <w:rFonts w:hint="eastAsia" w:hAnsi="宋体"/>
                <w:color w:val="auto"/>
                <w:szCs w:val="21"/>
              </w:rPr>
              <w:t>及以上职称的得</w:t>
            </w:r>
            <w:r>
              <w:rPr>
                <w:rFonts w:hint="eastAsia" w:hAnsi="宋体"/>
                <w:color w:val="auto"/>
                <w:szCs w:val="21"/>
                <w:u w:val="single"/>
                <w:lang w:val="en-US" w:eastAsia="zh-CN"/>
              </w:rPr>
              <w:t>10</w:t>
            </w:r>
            <w:r>
              <w:rPr>
                <w:rFonts w:hint="eastAsia" w:hAnsi="宋体"/>
                <w:color w:val="auto"/>
                <w:szCs w:val="21"/>
              </w:rPr>
              <w:t>分；</w:t>
            </w:r>
            <w:r>
              <w:rPr>
                <w:color w:val="auto"/>
              </w:rPr>
              <w:t>具有</w:t>
            </w:r>
            <w:r>
              <w:rPr>
                <w:rFonts w:hint="eastAsia"/>
                <w:color w:val="auto"/>
                <w:u w:val="single"/>
              </w:rPr>
              <w:t>建筑工程类</w:t>
            </w:r>
            <w:r>
              <w:rPr>
                <w:rFonts w:hint="eastAsia"/>
                <w:color w:val="auto"/>
              </w:rPr>
              <w:t>专业</w:t>
            </w:r>
            <w:r>
              <w:rPr>
                <w:color w:val="auto"/>
              </w:rPr>
              <w:t>大学本科学历及以上的得</w:t>
            </w:r>
            <w:r>
              <w:rPr>
                <w:rFonts w:hint="eastAsia" w:hAnsi="宋体"/>
                <w:color w:val="auto"/>
                <w:szCs w:val="21"/>
                <w:u w:val="single"/>
                <w:lang w:val="en-US" w:eastAsia="zh-CN"/>
              </w:rPr>
              <w:t>10</w:t>
            </w:r>
            <w:r>
              <w:rPr>
                <w:color w:val="auto"/>
              </w:rPr>
              <w:t>分，具有</w:t>
            </w:r>
            <w:r>
              <w:rPr>
                <w:rFonts w:hint="eastAsia"/>
                <w:color w:val="auto"/>
                <w:u w:val="single"/>
              </w:rPr>
              <w:t>建筑工程类</w:t>
            </w:r>
            <w:r>
              <w:rPr>
                <w:rFonts w:hint="eastAsia"/>
                <w:color w:val="auto"/>
              </w:rPr>
              <w:t>专业</w:t>
            </w:r>
            <w:r>
              <w:rPr>
                <w:color w:val="auto"/>
              </w:rPr>
              <w:t>大学专科学历的得</w:t>
            </w:r>
            <w:r>
              <w:rPr>
                <w:rFonts w:hint="eastAsia" w:hAnsi="宋体"/>
                <w:color w:val="auto"/>
                <w:szCs w:val="21"/>
                <w:u w:val="single"/>
                <w:lang w:val="en-US" w:eastAsia="zh-CN"/>
              </w:rPr>
              <w:t>5</w:t>
            </w:r>
            <w:r>
              <w:rPr>
                <w:color w:val="auto"/>
              </w:rPr>
              <w:t>分。</w:t>
            </w:r>
          </w:p>
          <w:p>
            <w:pPr>
              <w:spacing w:line="360" w:lineRule="auto"/>
              <w:jc w:val="left"/>
              <w:rPr>
                <w:rFonts w:hint="eastAsia" w:eastAsia="宋体"/>
                <w:color w:val="auto"/>
                <w:szCs w:val="21"/>
                <w:lang w:val="en-US" w:eastAsia="zh-CN"/>
              </w:rPr>
            </w:pPr>
            <w:r>
              <w:rPr>
                <w:rFonts w:hint="eastAsia" w:hAnsi="宋体"/>
                <w:color w:val="auto"/>
                <w:szCs w:val="21"/>
              </w:rPr>
              <w:t>总监理工程师执业</w:t>
            </w:r>
            <w:r>
              <w:rPr>
                <w:rFonts w:hAnsi="宋体"/>
                <w:color w:val="auto"/>
                <w:szCs w:val="21"/>
              </w:rPr>
              <w:t>资格、</w:t>
            </w:r>
            <w:r>
              <w:rPr>
                <w:rFonts w:hint="eastAsia" w:hAnsi="宋体"/>
                <w:color w:val="auto"/>
                <w:szCs w:val="21"/>
              </w:rPr>
              <w:t>从业经历：</w:t>
            </w:r>
            <w:r>
              <w:rPr>
                <w:color w:val="auto"/>
              </w:rPr>
              <w:t>取得全国注册监理工程师资格注册专业为房屋建筑工程的得</w:t>
            </w:r>
            <w:r>
              <w:rPr>
                <w:rFonts w:hint="eastAsia"/>
                <w:color w:val="auto"/>
                <w:u w:val="single"/>
                <w:lang w:val="en-US" w:eastAsia="zh-CN"/>
              </w:rPr>
              <w:t>5</w:t>
            </w:r>
            <w:r>
              <w:rPr>
                <w:color w:val="auto"/>
              </w:rPr>
              <w:t>分。</w:t>
            </w:r>
            <w:r>
              <w:rPr>
                <w:rFonts w:hint="eastAsia"/>
                <w:color w:val="auto"/>
              </w:rPr>
              <w:t>完成</w:t>
            </w:r>
            <w:r>
              <w:rPr>
                <w:color w:val="auto"/>
              </w:rPr>
              <w:t>过</w:t>
            </w:r>
            <w:r>
              <w:rPr>
                <w:rFonts w:hint="eastAsia" w:hAnsi="宋体"/>
                <w:color w:val="auto"/>
                <w:szCs w:val="21"/>
              </w:rPr>
              <w:t>类似项目得</w:t>
            </w:r>
            <w:r>
              <w:rPr>
                <w:rFonts w:hint="eastAsia" w:hAnsi="宋体"/>
                <w:color w:val="auto"/>
                <w:szCs w:val="21"/>
                <w:u w:val="single"/>
                <w:lang w:val="en-US" w:eastAsia="zh-CN"/>
              </w:rPr>
              <w:t>5</w:t>
            </w:r>
            <w:r>
              <w:rPr>
                <w:rFonts w:hint="eastAsia" w:hAnsi="宋体"/>
                <w:color w:val="auto"/>
                <w:szCs w:val="21"/>
              </w:rPr>
              <w:t>分，自20</w:t>
            </w:r>
            <w:r>
              <w:rPr>
                <w:rFonts w:hint="eastAsia" w:hAnsi="宋体"/>
                <w:color w:val="auto"/>
                <w:szCs w:val="21"/>
                <w:lang w:val="en-US" w:eastAsia="zh-CN"/>
              </w:rPr>
              <w:t>20</w:t>
            </w:r>
            <w:r>
              <w:rPr>
                <w:rFonts w:hint="eastAsia" w:hAnsi="宋体"/>
                <w:color w:val="auto"/>
                <w:szCs w:val="21"/>
              </w:rPr>
              <w:t>年1月1日以来至今完成过1个及以上</w:t>
            </w:r>
            <w:r>
              <w:rPr>
                <w:rFonts w:hint="eastAsia" w:hAnsi="宋体"/>
                <w:color w:val="auto"/>
                <w:szCs w:val="21"/>
                <w:lang w:val="en-US" w:eastAsia="zh-CN"/>
              </w:rPr>
              <w:t>房屋建筑类工程监理</w:t>
            </w:r>
            <w:r>
              <w:rPr>
                <w:rFonts w:hint="eastAsia" w:hAnsi="宋体"/>
                <w:color w:val="auto"/>
                <w:szCs w:val="21"/>
              </w:rPr>
              <w:t>项目业绩</w:t>
            </w:r>
            <w:r>
              <w:rPr>
                <w:rFonts w:hint="eastAsia"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25" w:type="pct"/>
            <w:vMerge w:val="continue"/>
            <w:noWrap w:val="0"/>
            <w:tcMar>
              <w:left w:w="57" w:type="dxa"/>
              <w:right w:w="57" w:type="dxa"/>
            </w:tcMar>
            <w:vAlign w:val="top"/>
          </w:tcPr>
          <w:p>
            <w:pPr>
              <w:spacing w:line="360" w:lineRule="auto"/>
              <w:jc w:val="center"/>
              <w:rPr>
                <w:color w:val="auto"/>
                <w:szCs w:val="21"/>
              </w:rPr>
            </w:pPr>
          </w:p>
        </w:tc>
        <w:tc>
          <w:tcPr>
            <w:tcW w:w="1032" w:type="pct"/>
            <w:noWrap w:val="0"/>
            <w:tcMar>
              <w:left w:w="57" w:type="dxa"/>
              <w:right w:w="57" w:type="dxa"/>
            </w:tcMar>
            <w:vAlign w:val="top"/>
          </w:tcPr>
          <w:p>
            <w:pPr>
              <w:spacing w:line="360" w:lineRule="auto"/>
              <w:jc w:val="left"/>
              <w:rPr>
                <w:color w:val="auto"/>
                <w:szCs w:val="21"/>
              </w:rPr>
            </w:pPr>
            <w:r>
              <w:rPr>
                <w:rFonts w:hint="eastAsia"/>
                <w:color w:val="auto"/>
                <w:szCs w:val="21"/>
              </w:rPr>
              <w:t>项目监理人员机构情况（0.0</w:t>
            </w:r>
            <w:r>
              <w:rPr>
                <w:color w:val="auto"/>
                <w:szCs w:val="21"/>
              </w:rPr>
              <w:t>~</w:t>
            </w:r>
            <w:r>
              <w:rPr>
                <w:rFonts w:hint="eastAsia"/>
                <w:color w:val="auto"/>
                <w:szCs w:val="21"/>
              </w:rPr>
              <w:t>2</w:t>
            </w:r>
            <w:r>
              <w:rPr>
                <w:color w:val="auto"/>
                <w:szCs w:val="21"/>
              </w:rPr>
              <w:t>0</w:t>
            </w:r>
            <w:r>
              <w:rPr>
                <w:rFonts w:hint="eastAsia"/>
                <w:color w:val="auto"/>
                <w:szCs w:val="21"/>
              </w:rPr>
              <w:t>分）</w:t>
            </w:r>
          </w:p>
        </w:tc>
        <w:tc>
          <w:tcPr>
            <w:tcW w:w="3142" w:type="pct"/>
            <w:noWrap w:val="0"/>
            <w:tcMar>
              <w:left w:w="57" w:type="dxa"/>
              <w:right w:w="57" w:type="dxa"/>
            </w:tcMar>
            <w:vAlign w:val="top"/>
          </w:tcPr>
          <w:p>
            <w:pPr>
              <w:spacing w:line="360" w:lineRule="auto"/>
              <w:jc w:val="left"/>
              <w:rPr>
                <w:rFonts w:hint="eastAsia" w:hAnsi="宋体"/>
                <w:color w:val="auto"/>
                <w:szCs w:val="21"/>
              </w:rPr>
            </w:pPr>
            <w:r>
              <w:rPr>
                <w:rFonts w:hint="eastAsia" w:hAnsi="宋体"/>
                <w:color w:val="auto"/>
                <w:szCs w:val="21"/>
              </w:rPr>
              <w:t>项目监理机构成员岗位设置、专业配备从业经历情况（满分 20 分）：</w:t>
            </w:r>
          </w:p>
          <w:p>
            <w:pPr>
              <w:spacing w:line="360" w:lineRule="auto"/>
              <w:jc w:val="left"/>
              <w:rPr>
                <w:rFonts w:hint="eastAsia" w:hAnsi="宋体"/>
                <w:color w:val="auto"/>
                <w:szCs w:val="21"/>
              </w:rPr>
            </w:pPr>
            <w:r>
              <w:rPr>
                <w:rFonts w:hint="eastAsia" w:hAnsi="宋体"/>
                <w:color w:val="auto"/>
                <w:szCs w:val="21"/>
              </w:rPr>
              <w:t>（1）专业监理工程师须持有国家建设部颁发的《注册监理工程师注册执业证书》或广西建设监理工程师证书或广西壮族自治区住建厅颁发的监理员岗位证书，具有中级以上（含中级）专业技术职称，否则不得分。①拟投入专业监理工程师人数不少于 2 人，其中</w:t>
            </w:r>
            <w:r>
              <w:rPr>
                <w:rFonts w:hint="eastAsia" w:hAnsi="宋体"/>
                <w:color w:val="auto"/>
                <w:szCs w:val="21"/>
                <w:lang w:val="en-US" w:eastAsia="zh-CN"/>
              </w:rPr>
              <w:t>土建类</w:t>
            </w:r>
            <w:r>
              <w:rPr>
                <w:rFonts w:hint="eastAsia" w:hAnsi="宋体"/>
                <w:color w:val="auto"/>
                <w:szCs w:val="21"/>
              </w:rPr>
              <w:t>1 人、机电安装</w:t>
            </w:r>
            <w:r>
              <w:rPr>
                <w:rFonts w:hint="eastAsia" w:hAnsi="宋体"/>
                <w:color w:val="auto"/>
                <w:szCs w:val="21"/>
                <w:lang w:val="en-US" w:eastAsia="zh-CN"/>
              </w:rPr>
              <w:t>或电气类</w:t>
            </w:r>
            <w:r>
              <w:rPr>
                <w:rFonts w:hint="eastAsia" w:hAnsi="宋体"/>
                <w:color w:val="auto"/>
                <w:szCs w:val="21"/>
              </w:rPr>
              <w:t>1人，满足以上要求的不加分。②拟投入专业监理工程师具有高级及以上专业技术职称，每提供1人得</w:t>
            </w:r>
            <w:r>
              <w:rPr>
                <w:rFonts w:hint="eastAsia" w:hAnsi="宋体"/>
                <w:color w:val="auto"/>
                <w:szCs w:val="21"/>
                <w:lang w:val="en-US" w:eastAsia="zh-CN"/>
              </w:rPr>
              <w:t>5</w:t>
            </w:r>
            <w:r>
              <w:rPr>
                <w:rFonts w:hint="eastAsia" w:hAnsi="宋体"/>
                <w:color w:val="auto"/>
                <w:szCs w:val="21"/>
              </w:rPr>
              <w:t>分，满分</w:t>
            </w:r>
            <w:r>
              <w:rPr>
                <w:rFonts w:hint="eastAsia" w:hAnsi="宋体"/>
                <w:color w:val="auto"/>
                <w:szCs w:val="21"/>
                <w:lang w:val="en-US" w:eastAsia="zh-CN"/>
              </w:rPr>
              <w:t>10</w:t>
            </w:r>
            <w:r>
              <w:rPr>
                <w:rFonts w:hint="eastAsia" w:hAnsi="宋体"/>
                <w:color w:val="auto"/>
                <w:szCs w:val="21"/>
              </w:rPr>
              <w:t>分。③具有建筑工程类专业（根据项目定）大学本科学历及以上的每提供1人得</w:t>
            </w:r>
            <w:r>
              <w:rPr>
                <w:rFonts w:hint="eastAsia" w:hAnsi="宋体"/>
                <w:color w:val="auto"/>
                <w:szCs w:val="21"/>
                <w:lang w:val="en-US" w:eastAsia="zh-CN"/>
              </w:rPr>
              <w:t>2.5</w:t>
            </w:r>
            <w:r>
              <w:rPr>
                <w:rFonts w:hint="eastAsia" w:hAnsi="宋体"/>
                <w:color w:val="auto"/>
                <w:szCs w:val="21"/>
              </w:rPr>
              <w:t>分，满分</w:t>
            </w:r>
            <w:r>
              <w:rPr>
                <w:rFonts w:hint="eastAsia" w:hAnsi="宋体"/>
                <w:color w:val="auto"/>
                <w:szCs w:val="21"/>
                <w:lang w:val="en-US" w:eastAsia="zh-CN"/>
              </w:rPr>
              <w:t>5</w:t>
            </w:r>
            <w:r>
              <w:rPr>
                <w:rFonts w:hint="eastAsia" w:hAnsi="宋体"/>
                <w:color w:val="auto"/>
                <w:szCs w:val="21"/>
              </w:rPr>
              <w:t>分。</w:t>
            </w:r>
          </w:p>
          <w:p>
            <w:pPr>
              <w:spacing w:line="360" w:lineRule="auto"/>
              <w:jc w:val="left"/>
              <w:rPr>
                <w:rFonts w:hint="eastAsia"/>
                <w:color w:val="auto"/>
                <w:szCs w:val="21"/>
              </w:rPr>
            </w:pPr>
            <w:r>
              <w:rPr>
                <w:rFonts w:hint="eastAsia" w:hAnsi="宋体"/>
                <w:color w:val="auto"/>
                <w:szCs w:val="21"/>
              </w:rPr>
              <w:t xml:space="preserve">（2）其他监理员 </w:t>
            </w:r>
            <w:r>
              <w:rPr>
                <w:rFonts w:hint="eastAsia" w:hAnsi="宋体"/>
                <w:color w:val="auto"/>
                <w:szCs w:val="21"/>
                <w:lang w:val="en-US" w:eastAsia="zh-CN"/>
              </w:rPr>
              <w:t>1</w:t>
            </w:r>
            <w:r>
              <w:rPr>
                <w:rFonts w:hint="eastAsia" w:hAnsi="宋体"/>
                <w:color w:val="auto"/>
                <w:szCs w:val="21"/>
              </w:rPr>
              <w:t xml:space="preserve"> 人（每人</w:t>
            </w:r>
            <w:r>
              <w:rPr>
                <w:rFonts w:hint="eastAsia" w:hAnsi="宋体"/>
                <w:color w:val="auto"/>
                <w:szCs w:val="21"/>
                <w:lang w:val="en-US" w:eastAsia="zh-CN"/>
              </w:rPr>
              <w:t>5</w:t>
            </w:r>
            <w:r>
              <w:rPr>
                <w:rFonts w:hint="eastAsia" w:hAnsi="宋体"/>
                <w:color w:val="auto"/>
                <w:szCs w:val="21"/>
              </w:rPr>
              <w:t>分，满分</w:t>
            </w:r>
            <w:r>
              <w:rPr>
                <w:rFonts w:hint="eastAsia" w:hAnsi="宋体"/>
                <w:color w:val="auto"/>
                <w:szCs w:val="21"/>
                <w:lang w:val="en-US" w:eastAsia="zh-CN"/>
              </w:rPr>
              <w:t>5</w:t>
            </w:r>
            <w:r>
              <w:rPr>
                <w:rFonts w:hint="eastAsia" w:hAnsi="宋体"/>
                <w:color w:val="auto"/>
                <w:szCs w:val="21"/>
              </w:rPr>
              <w:t xml:space="preserve"> 分），须持有国家建设部颁发的《注册监理工程师注册执业证书》或广西建设监理工程师证书或广西壮族自治区住建厅颁发的监理员岗位证书，且具有助理工程师或以上专业技术职称。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25" w:type="pct"/>
            <w:vMerge w:val="continue"/>
            <w:noWrap w:val="0"/>
            <w:tcMar>
              <w:left w:w="57" w:type="dxa"/>
              <w:right w:w="57" w:type="dxa"/>
            </w:tcMar>
            <w:vAlign w:val="top"/>
          </w:tcPr>
          <w:p>
            <w:pPr>
              <w:spacing w:line="360" w:lineRule="auto"/>
              <w:jc w:val="center"/>
              <w:rPr>
                <w:color w:val="auto"/>
                <w:szCs w:val="21"/>
              </w:rPr>
            </w:pPr>
          </w:p>
        </w:tc>
        <w:tc>
          <w:tcPr>
            <w:tcW w:w="1032" w:type="pct"/>
            <w:noWrap w:val="0"/>
            <w:tcMar>
              <w:left w:w="57" w:type="dxa"/>
              <w:right w:w="57" w:type="dxa"/>
            </w:tcMar>
            <w:vAlign w:val="center"/>
          </w:tcPr>
          <w:p>
            <w:pPr>
              <w:tabs>
                <w:tab w:val="left" w:pos="1841"/>
              </w:tabs>
              <w:spacing w:line="360" w:lineRule="auto"/>
              <w:ind w:left="-107" w:leftChars="-51"/>
              <w:jc w:val="center"/>
              <w:rPr>
                <w:color w:val="auto"/>
              </w:rPr>
            </w:pPr>
            <w:r>
              <w:rPr>
                <w:rFonts w:hAnsi="宋体"/>
                <w:color w:val="auto"/>
              </w:rPr>
              <w:t>投标人资质情况</w:t>
            </w:r>
          </w:p>
          <w:p>
            <w:pPr>
              <w:tabs>
                <w:tab w:val="left" w:pos="1841"/>
              </w:tabs>
              <w:spacing w:line="360" w:lineRule="auto"/>
              <w:ind w:left="-107" w:leftChars="-51"/>
              <w:jc w:val="center"/>
              <w:rPr>
                <w:color w:val="auto"/>
              </w:rPr>
            </w:pPr>
            <w:r>
              <w:rPr>
                <w:rFonts w:hAnsi="宋体"/>
                <w:color w:val="auto"/>
              </w:rPr>
              <w:t>（</w:t>
            </w:r>
            <w:r>
              <w:rPr>
                <w:rFonts w:hint="eastAsia" w:hAnsi="宋体"/>
                <w:color w:val="auto"/>
              </w:rPr>
              <w:t>0.</w:t>
            </w:r>
            <w:r>
              <w:rPr>
                <w:rFonts w:hint="eastAsia" w:hAnsi="宋体"/>
                <w:color w:val="auto"/>
                <w:szCs w:val="21"/>
              </w:rPr>
              <w:t>0~</w:t>
            </w:r>
            <w:r>
              <w:rPr>
                <w:rFonts w:hint="eastAsia"/>
                <w:color w:val="auto"/>
                <w:szCs w:val="21"/>
              </w:rPr>
              <w:t>2</w:t>
            </w:r>
            <w:r>
              <w:rPr>
                <w:color w:val="auto"/>
                <w:szCs w:val="21"/>
              </w:rPr>
              <w:t>0</w:t>
            </w:r>
            <w:r>
              <w:rPr>
                <w:rFonts w:hAnsi="宋体"/>
                <w:color w:val="auto"/>
                <w:szCs w:val="21"/>
              </w:rPr>
              <w:t>分）</w:t>
            </w:r>
          </w:p>
        </w:tc>
        <w:tc>
          <w:tcPr>
            <w:tcW w:w="3142" w:type="pct"/>
            <w:noWrap w:val="0"/>
            <w:tcMar>
              <w:left w:w="57" w:type="dxa"/>
              <w:right w:w="57" w:type="dxa"/>
            </w:tcMar>
            <w:vAlign w:val="center"/>
          </w:tcPr>
          <w:p>
            <w:pPr>
              <w:spacing w:line="360" w:lineRule="auto"/>
              <w:jc w:val="center"/>
              <w:rPr>
                <w:color w:val="auto"/>
              </w:rPr>
            </w:pPr>
            <w:r>
              <w:rPr>
                <w:color w:val="auto"/>
              </w:rPr>
              <w:t>投标人具备</w:t>
            </w:r>
            <w:r>
              <w:rPr>
                <w:color w:val="auto"/>
                <w:u w:val="single"/>
              </w:rPr>
              <w:t>房屋建筑工程</w:t>
            </w:r>
            <w:r>
              <w:rPr>
                <w:color w:val="auto"/>
              </w:rPr>
              <w:t>监理乙级的得</w:t>
            </w:r>
            <w:r>
              <w:rPr>
                <w:rFonts w:hint="eastAsia"/>
                <w:color w:val="auto"/>
                <w:u w:val="single"/>
              </w:rPr>
              <w:t>10</w:t>
            </w:r>
            <w:r>
              <w:rPr>
                <w:color w:val="auto"/>
              </w:rPr>
              <w:t>分</w:t>
            </w:r>
            <w:r>
              <w:rPr>
                <w:rFonts w:hint="eastAsia"/>
                <w:color w:val="auto"/>
              </w:rPr>
              <w:t>，</w:t>
            </w:r>
            <w:r>
              <w:rPr>
                <w:color w:val="auto"/>
              </w:rPr>
              <w:t>具备</w:t>
            </w:r>
            <w:r>
              <w:rPr>
                <w:color w:val="auto"/>
                <w:u w:val="single"/>
              </w:rPr>
              <w:t>房屋建筑工程</w:t>
            </w:r>
            <w:r>
              <w:rPr>
                <w:color w:val="auto"/>
              </w:rPr>
              <w:t>监理甲级或综合资质得</w:t>
            </w:r>
            <w:r>
              <w:rPr>
                <w:rFonts w:hint="eastAsia"/>
                <w:color w:val="auto"/>
                <w:u w:val="single"/>
              </w:rPr>
              <w:t>20</w:t>
            </w:r>
            <w:r>
              <w:rPr>
                <w:color w:val="auto"/>
              </w:rPr>
              <w:t>分。（此项满分</w:t>
            </w:r>
            <w:r>
              <w:rPr>
                <w:rFonts w:hint="eastAsia"/>
                <w:color w:val="auto"/>
                <w:u w:val="single"/>
              </w:rPr>
              <w:t>20</w:t>
            </w:r>
            <w:r>
              <w:rPr>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25" w:type="pct"/>
            <w:vMerge w:val="continue"/>
            <w:noWrap w:val="0"/>
            <w:tcMar>
              <w:left w:w="57" w:type="dxa"/>
              <w:right w:w="57" w:type="dxa"/>
            </w:tcMar>
            <w:vAlign w:val="top"/>
          </w:tcPr>
          <w:p>
            <w:pPr>
              <w:spacing w:line="360" w:lineRule="auto"/>
              <w:jc w:val="center"/>
              <w:rPr>
                <w:color w:val="auto"/>
                <w:szCs w:val="21"/>
              </w:rPr>
            </w:pPr>
          </w:p>
        </w:tc>
        <w:tc>
          <w:tcPr>
            <w:tcW w:w="1032" w:type="pct"/>
            <w:noWrap w:val="0"/>
            <w:tcMar>
              <w:left w:w="57" w:type="dxa"/>
              <w:right w:w="57" w:type="dxa"/>
            </w:tcMar>
            <w:vAlign w:val="center"/>
          </w:tcPr>
          <w:p>
            <w:pPr>
              <w:tabs>
                <w:tab w:val="left" w:pos="1841"/>
              </w:tabs>
              <w:spacing w:line="360" w:lineRule="auto"/>
              <w:ind w:left="-107" w:leftChars="-51"/>
              <w:jc w:val="center"/>
              <w:rPr>
                <w:color w:val="auto"/>
              </w:rPr>
            </w:pPr>
            <w:r>
              <w:rPr>
                <w:rFonts w:hAnsi="宋体"/>
                <w:color w:val="auto"/>
              </w:rPr>
              <w:t>投标人</w:t>
            </w:r>
            <w:r>
              <w:rPr>
                <w:rFonts w:hint="eastAsia" w:hAnsi="宋体"/>
                <w:color w:val="auto"/>
              </w:rPr>
              <w:t>类似业绩</w:t>
            </w:r>
          </w:p>
          <w:p>
            <w:pPr>
              <w:tabs>
                <w:tab w:val="left" w:pos="1841"/>
              </w:tabs>
              <w:spacing w:line="360" w:lineRule="auto"/>
              <w:ind w:left="-107" w:leftChars="-51"/>
              <w:jc w:val="center"/>
              <w:rPr>
                <w:color w:val="auto"/>
              </w:rPr>
            </w:pPr>
            <w:r>
              <w:rPr>
                <w:rFonts w:hAnsi="宋体"/>
                <w:color w:val="auto"/>
              </w:rPr>
              <w:t>（</w:t>
            </w:r>
            <w:r>
              <w:rPr>
                <w:rFonts w:hint="eastAsia" w:hAnsi="宋体"/>
                <w:color w:val="auto"/>
              </w:rPr>
              <w:t>0.</w:t>
            </w:r>
            <w:r>
              <w:rPr>
                <w:rFonts w:hAnsi="宋体"/>
                <w:color w:val="auto"/>
                <w:szCs w:val="21"/>
              </w:rPr>
              <w:t>0~</w:t>
            </w:r>
            <w:r>
              <w:rPr>
                <w:rFonts w:hint="eastAsia" w:hAnsi="宋体"/>
                <w:color w:val="auto"/>
                <w:szCs w:val="21"/>
              </w:rPr>
              <w:t>3</w:t>
            </w:r>
            <w:r>
              <w:rPr>
                <w:rFonts w:hAnsi="宋体"/>
                <w:color w:val="auto"/>
                <w:szCs w:val="21"/>
              </w:rPr>
              <w:t>0分）</w:t>
            </w:r>
          </w:p>
        </w:tc>
        <w:tc>
          <w:tcPr>
            <w:tcW w:w="3142" w:type="pct"/>
            <w:noWrap w:val="0"/>
            <w:tcMar>
              <w:left w:w="57" w:type="dxa"/>
              <w:right w:w="57" w:type="dxa"/>
            </w:tcMar>
            <w:vAlign w:val="top"/>
          </w:tcPr>
          <w:p>
            <w:pPr>
              <w:spacing w:line="360" w:lineRule="auto"/>
              <w:jc w:val="left"/>
              <w:rPr>
                <w:rFonts w:hint="eastAsia" w:hAnsi="宋体"/>
                <w:color w:val="auto"/>
                <w:szCs w:val="21"/>
              </w:rPr>
            </w:pPr>
            <w:r>
              <w:rPr>
                <w:rFonts w:hint="eastAsia"/>
                <w:color w:val="auto"/>
                <w:szCs w:val="21"/>
              </w:rPr>
              <w:t>投标人</w:t>
            </w:r>
            <w:r>
              <w:rPr>
                <w:rFonts w:hint="eastAsia" w:hAnsi="宋体"/>
                <w:color w:val="auto"/>
                <w:szCs w:val="21"/>
              </w:rPr>
              <w:t>自20</w:t>
            </w:r>
            <w:r>
              <w:rPr>
                <w:rFonts w:hint="eastAsia" w:hAnsi="宋体"/>
                <w:color w:val="auto"/>
                <w:szCs w:val="21"/>
                <w:lang w:val="en-US" w:eastAsia="zh-CN"/>
              </w:rPr>
              <w:t>22</w:t>
            </w:r>
            <w:r>
              <w:rPr>
                <w:rFonts w:hint="eastAsia" w:hAnsi="宋体"/>
                <w:color w:val="auto"/>
                <w:szCs w:val="21"/>
              </w:rPr>
              <w:t>年1月1日以来至今完成过1个及以上类似项目业绩（类似业绩指项目投资超过</w:t>
            </w:r>
            <w:r>
              <w:rPr>
                <w:rFonts w:hint="eastAsia" w:hAnsi="宋体"/>
                <w:color w:val="auto"/>
                <w:szCs w:val="21"/>
                <w:lang w:val="en-US" w:eastAsia="zh-CN"/>
              </w:rPr>
              <w:t>700</w:t>
            </w:r>
            <w:r>
              <w:rPr>
                <w:rFonts w:hint="eastAsia" w:hAnsi="宋体"/>
                <w:color w:val="auto"/>
                <w:szCs w:val="21"/>
              </w:rPr>
              <w:t>万元，包含博物馆或历史展示馆、文化馆、文化展示基地、规划展览馆、科技馆其中一个或一个以上监理项目业绩）</w:t>
            </w:r>
            <w:r>
              <w:rPr>
                <w:rFonts w:hint="eastAsia"/>
                <w:color w:val="auto"/>
                <w:szCs w:val="21"/>
              </w:rPr>
              <w:t>，每一项得 15 分，此项满分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000" w:type="pct"/>
            <w:gridSpan w:val="3"/>
            <w:noWrap w:val="0"/>
            <w:tcMar>
              <w:left w:w="57" w:type="dxa"/>
              <w:right w:w="57" w:type="dxa"/>
            </w:tcMar>
            <w:vAlign w:val="top"/>
          </w:tcPr>
          <w:p>
            <w:pPr>
              <w:spacing w:line="360" w:lineRule="auto"/>
              <w:jc w:val="left"/>
              <w:rPr>
                <w:rFonts w:hint="eastAsia" w:eastAsia="宋体"/>
                <w:color w:val="auto"/>
                <w:szCs w:val="21"/>
                <w:lang w:eastAsia="zh-CN"/>
              </w:rPr>
            </w:pPr>
            <w:r>
              <w:rPr>
                <w:rFonts w:hAnsi="宋体"/>
                <w:color w:val="auto"/>
                <w:szCs w:val="21"/>
              </w:rPr>
              <w:t>评分相等时，以投标报价低</w:t>
            </w:r>
            <w:r>
              <w:rPr>
                <w:rFonts w:hint="eastAsia" w:hAnsi="宋体"/>
                <w:color w:val="auto"/>
                <w:szCs w:val="21"/>
              </w:rPr>
              <w:t>或</w:t>
            </w:r>
            <w:r>
              <w:rPr>
                <w:rFonts w:hint="eastAsia"/>
                <w:color w:val="auto"/>
              </w:rPr>
              <w:t>下浮系数报价时下浮系数高</w:t>
            </w:r>
            <w:r>
              <w:rPr>
                <w:rFonts w:hAnsi="宋体"/>
                <w:color w:val="auto"/>
                <w:szCs w:val="21"/>
              </w:rPr>
              <w:t>的优先</w:t>
            </w:r>
            <w:r>
              <w:rPr>
                <w:rFonts w:hint="eastAsia" w:hAnsi="宋体"/>
                <w:color w:val="auto"/>
                <w:szCs w:val="21"/>
                <w:lang w:eastAsia="zh-CN"/>
              </w:rPr>
              <w:t>。</w:t>
            </w:r>
          </w:p>
        </w:tc>
      </w:tr>
    </w:tbl>
    <w:p>
      <w:pPr>
        <w:rPr>
          <w:color w:val="auto"/>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53A6F"/>
    <w:rsid w:val="0C793B73"/>
    <w:rsid w:val="27165584"/>
    <w:rsid w:val="2B180053"/>
    <w:rsid w:val="4EB53A6F"/>
    <w:rsid w:val="62BE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1000</Words>
  <Characters>1043</Characters>
  <Lines>0</Lines>
  <Paragraphs>0</Paragraphs>
  <TotalTime>24</TotalTime>
  <ScaleCrop>false</ScaleCrop>
  <LinksUpToDate>false</LinksUpToDate>
  <CharactersWithSpaces>1060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2025-06-04T07:28:00Z</dcterms:created>
  <dc:creator>徐舞渺</dc:creator>
  <cp:lastModifiedBy>Administrator</cp:lastModifiedBy>
  <cp:lastPrinted>2025-06-06T06:20:00Z</cp:lastPrinted>
  <dcterms:modified xsi:type="dcterms:W3CDTF">2025-06-06T08:09:02Z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1891E6854ECC4A55ADDFE436DF55F318_13</vt:lpwstr>
  </property>
  <property fmtid="{D5CDD505-2E9C-101B-9397-08002B2CF9AE}" pid="4" name="KSOTemplateDocerSaveRecord">
    <vt:lpwstr>eyJoZGlkIjoiYzMzYzNhZWFjZDRmNDAzYzJlMjFmZGIxOWFiNzgyNGUifQ==</vt:lpwstr>
  </property>
</Properties>
</file>