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left"/>
        <w:rPr>
          <w:rFonts w:ascii="宋体" w:hAnsi="宋体"/>
          <w:b/>
          <w:sz w:val="28"/>
          <w:szCs w:val="28"/>
        </w:rPr>
      </w:pPr>
      <w:r>
        <w:rPr>
          <w:rFonts w:hint="eastAsia" w:ascii="宋体" w:hAnsi="宋体"/>
          <w:b/>
          <w:sz w:val="28"/>
          <w:szCs w:val="28"/>
        </w:rPr>
        <w:t>附件3</w:t>
      </w:r>
    </w:p>
    <w:p>
      <w:pPr>
        <w:jc w:val="center"/>
        <w:rPr>
          <w:rFonts w:ascii="宋体" w:hAnsi="宋体"/>
          <w:b/>
          <w:sz w:val="28"/>
          <w:szCs w:val="28"/>
        </w:rPr>
      </w:pPr>
      <w:r>
        <w:rPr>
          <w:rFonts w:hint="eastAsia" w:ascii="宋体" w:hAnsi="宋体"/>
          <w:b/>
          <w:sz w:val="28"/>
          <w:szCs w:val="28"/>
        </w:rPr>
        <w:t xml:space="preserve">   </w:t>
      </w:r>
      <w:r>
        <w:rPr>
          <w:rFonts w:hint="eastAsia" w:ascii="宋体" w:hAnsi="宋体"/>
          <w:b/>
          <w:sz w:val="44"/>
          <w:szCs w:val="44"/>
        </w:rPr>
        <w:t>采购需求</w:t>
      </w:r>
    </w:p>
    <w:p>
      <w:pPr>
        <w:spacing w:line="400" w:lineRule="exact"/>
        <w:rPr>
          <w:rFonts w:ascii="宋体" w:hAnsi="宋体"/>
          <w:b/>
          <w:sz w:val="28"/>
          <w:szCs w:val="28"/>
        </w:rPr>
      </w:pPr>
    </w:p>
    <w:p>
      <w:pPr>
        <w:spacing w:line="400" w:lineRule="exact"/>
        <w:ind w:left="1400" w:hanging="1400" w:hangingChars="500"/>
        <w:jc w:val="left"/>
        <w:rPr>
          <w:rFonts w:ascii="宋体" w:hAnsi="宋体"/>
          <w:bCs/>
          <w:sz w:val="28"/>
          <w:szCs w:val="28"/>
        </w:rPr>
      </w:pPr>
      <w:r>
        <w:rPr>
          <w:rFonts w:hint="eastAsia" w:ascii="宋体" w:hAnsi="宋体"/>
          <w:bCs/>
          <w:sz w:val="28"/>
          <w:szCs w:val="28"/>
        </w:rPr>
        <w:t>说明：1、投标人须根据广西中医药大学阿平湖（小池）生态养护服务项目技术方案、</w:t>
      </w:r>
      <w:bookmarkStart w:id="0" w:name="OLE_LINK3"/>
      <w:r>
        <w:rPr>
          <w:rFonts w:hint="eastAsia" w:ascii="宋体" w:hAnsi="宋体"/>
          <w:bCs/>
          <w:sz w:val="28"/>
          <w:szCs w:val="28"/>
        </w:rPr>
        <w:t>项目明细需求</w:t>
      </w:r>
      <w:bookmarkEnd w:id="0"/>
      <w:r>
        <w:rPr>
          <w:rFonts w:hint="eastAsia" w:ascii="宋体" w:hAnsi="宋体"/>
          <w:bCs/>
          <w:sz w:val="28"/>
          <w:szCs w:val="28"/>
        </w:rPr>
        <w:t xml:space="preserve"> 、商务需求提供一一对应的响应偏离表。</w:t>
      </w:r>
    </w:p>
    <w:p>
      <w:pPr>
        <w:spacing w:line="400" w:lineRule="exact"/>
        <w:ind w:firstLine="840" w:firstLineChars="300"/>
        <w:jc w:val="left"/>
        <w:rPr>
          <w:rFonts w:hint="eastAsia" w:ascii="宋体" w:hAnsi="宋体"/>
          <w:bCs/>
          <w:sz w:val="28"/>
          <w:szCs w:val="28"/>
        </w:rPr>
      </w:pPr>
      <w:r>
        <w:rPr>
          <w:rFonts w:hint="eastAsia" w:ascii="宋体" w:hAnsi="宋体"/>
          <w:bCs/>
          <w:sz w:val="28"/>
          <w:szCs w:val="28"/>
        </w:rPr>
        <w:t>2、本章中带★号条款为实质性内容要求，投标时必须满足。</w:t>
      </w:r>
    </w:p>
    <w:tbl>
      <w:tblPr>
        <w:tblStyle w:val="8"/>
        <w:tblW w:w="925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4"/>
        <w:gridCol w:w="106"/>
        <w:gridCol w:w="983"/>
        <w:gridCol w:w="336"/>
        <w:gridCol w:w="540"/>
        <w:gridCol w:w="992"/>
        <w:gridCol w:w="688"/>
        <w:gridCol w:w="289"/>
        <w:gridCol w:w="401"/>
        <w:gridCol w:w="675"/>
        <w:gridCol w:w="35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9257" w:type="dxa"/>
            <w:gridSpan w:val="11"/>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b/>
                <w:szCs w:val="21"/>
              </w:rPr>
            </w:pPr>
            <w:r>
              <w:rPr>
                <w:rFonts w:hint="eastAsia" w:ascii="宋体" w:hAnsi="宋体"/>
                <w:b/>
                <w:szCs w:val="21"/>
              </w:rPr>
              <w:t>一、技术方案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257" w:type="dxa"/>
            <w:gridSpan w:val="11"/>
            <w:tcBorders>
              <w:top w:val="single" w:color="auto" w:sz="4" w:space="0"/>
              <w:left w:val="single" w:color="auto" w:sz="4" w:space="0"/>
              <w:right w:val="single" w:color="auto" w:sz="4" w:space="0"/>
            </w:tcBorders>
            <w:vAlign w:val="center"/>
          </w:tcPr>
          <w:p>
            <w:pPr>
              <w:rPr>
                <w:rFonts w:hint="eastAsia" w:ascii="宋体" w:hAnsi="宋体"/>
                <w:szCs w:val="21"/>
              </w:rPr>
            </w:pP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构建以大型沉水植被为优势的清水生态水处理技术。以生态系统稳态转化理论为依据，在综合诊断水体生态系统结构与功能退化原因的基础上，以控制外源污染负荷为前提，集成运用营养盐钝化技术、底栖与浮游食物构建技术、沉水植被构建技术、水-泥界面耦合作用控制技术等，构建与恢复清水型水体生态系统结构，提高水体自净能力，使水体实现从浑水型生态系统向清水型生态系统的转变，并能抵御大气沉降和地表径流等带来的污染，保持健康的生态系统和良好的水质。清水景观生态系统建立后，水体拥有较强的自净能力，磷负荷承载量可达</w:t>
            </w:r>
            <w:r>
              <w:rPr>
                <w:rFonts w:asciiTheme="majorEastAsia" w:hAnsiTheme="majorEastAsia" w:eastAsiaTheme="majorEastAsia"/>
                <w:szCs w:val="21"/>
              </w:rPr>
              <w:t>5</w:t>
            </w:r>
            <w:r>
              <w:rPr>
                <w:rFonts w:hint="eastAsia" w:asciiTheme="majorEastAsia" w:hAnsiTheme="majorEastAsia" w:eastAsiaTheme="majorEastAsia"/>
                <w:szCs w:val="21"/>
              </w:rPr>
              <w:t>g.m</w:t>
            </w:r>
            <w:r>
              <w:rPr>
                <w:rFonts w:hint="eastAsia" w:asciiTheme="majorEastAsia" w:hAnsiTheme="majorEastAsia" w:eastAsiaTheme="majorEastAsia"/>
                <w:szCs w:val="21"/>
                <w:vertAlign w:val="superscript"/>
              </w:rPr>
              <w:t>-2</w:t>
            </w:r>
            <w:r>
              <w:rPr>
                <w:rFonts w:hint="eastAsia" w:asciiTheme="majorEastAsia" w:hAnsiTheme="majorEastAsia" w:eastAsiaTheme="majorEastAsia"/>
                <w:szCs w:val="21"/>
              </w:rPr>
              <w:t>.y</w:t>
            </w:r>
            <w:r>
              <w:rPr>
                <w:rFonts w:hint="eastAsia" w:asciiTheme="majorEastAsia" w:hAnsiTheme="majorEastAsia" w:eastAsiaTheme="majorEastAsia"/>
                <w:szCs w:val="21"/>
                <w:vertAlign w:val="superscript"/>
              </w:rPr>
              <w:t>-1</w:t>
            </w:r>
            <w:r>
              <w:rPr>
                <w:rFonts w:hint="eastAsia" w:ascii="宋体" w:hAnsi="宋体"/>
                <w:szCs w:val="21"/>
              </w:rPr>
              <w:t>。</w:t>
            </w:r>
          </w:p>
          <w:p>
            <w:pPr>
              <w:rPr>
                <w:rFonts w:hint="eastAsia" w:ascii="宋体" w:hAnsi="宋体"/>
                <w:szCs w:val="21"/>
              </w:rPr>
            </w:pPr>
            <w:r>
              <w:rPr>
                <w:rFonts w:hint="eastAsia" w:ascii="宋体" w:hAnsi="宋体"/>
                <w:szCs w:val="21"/>
              </w:rPr>
              <w:t xml:space="preserve">   对景观湖体运用清水生态系统构建与修复技术修复后，能长效维持以下技术标准：</w:t>
            </w:r>
          </w:p>
          <w:p>
            <w:pPr>
              <w:rPr>
                <w:rFonts w:hint="eastAsia" w:ascii="宋体" w:hAnsi="宋体"/>
                <w:szCs w:val="21"/>
              </w:rPr>
            </w:pPr>
            <w:r>
              <w:rPr>
                <w:rFonts w:hint="eastAsia" w:ascii="宋体" w:hAnsi="宋体"/>
                <w:szCs w:val="21"/>
              </w:rPr>
              <w:t xml:space="preserve">  （1）水体主要富营养化指标（总磷、氨氮、高锰酸钾指数</w:t>
            </w:r>
            <w:r>
              <w:rPr>
                <w:rFonts w:hint="eastAsia" w:ascii="宋体" w:hAnsi="宋体"/>
                <w:szCs w:val="21"/>
                <w:lang w:eastAsia="zh-CN"/>
              </w:rPr>
              <w:t>、</w:t>
            </w:r>
            <w:r>
              <w:rPr>
                <w:rFonts w:hint="eastAsia" w:ascii="宋体" w:hAnsi="宋体"/>
                <w:szCs w:val="21"/>
              </w:rPr>
              <w:t>溶解氧）达到国家《地表水环境质量标准》（GB 3838-2002）III类标准（除暴雨期外）；</w:t>
            </w:r>
          </w:p>
          <w:p>
            <w:pPr>
              <w:rPr>
                <w:rFonts w:hint="eastAsia" w:ascii="宋体" w:hAnsi="宋体"/>
                <w:szCs w:val="21"/>
              </w:rPr>
            </w:pPr>
            <w:r>
              <w:rPr>
                <w:rFonts w:hint="eastAsia" w:ascii="宋体" w:hAnsi="宋体"/>
                <w:szCs w:val="21"/>
              </w:rPr>
              <w:t xml:space="preserve">  （2）叶绿素低于20ug/L水平，不再发生藻华现象；</w:t>
            </w:r>
          </w:p>
          <w:p>
            <w:pPr>
              <w:rPr>
                <w:rFonts w:hint="eastAsia" w:ascii="宋体" w:hAnsi="宋体"/>
                <w:szCs w:val="21"/>
              </w:rPr>
            </w:pPr>
            <w:r>
              <w:rPr>
                <w:rFonts w:hint="eastAsia" w:ascii="宋体" w:hAnsi="宋体"/>
                <w:szCs w:val="21"/>
              </w:rPr>
              <w:t xml:space="preserve">  （3）溶解氧达到7mg/L, 消除发黑、发臭现象；</w:t>
            </w:r>
          </w:p>
          <w:p>
            <w:pPr>
              <w:rPr>
                <w:rFonts w:hint="eastAsia" w:ascii="宋体" w:hAnsi="宋体"/>
                <w:szCs w:val="21"/>
              </w:rPr>
            </w:pPr>
            <w:r>
              <w:rPr>
                <w:rFonts w:hint="eastAsia" w:ascii="宋体" w:hAnsi="宋体"/>
                <w:szCs w:val="21"/>
              </w:rPr>
              <w:t xml:space="preserve">  （4）水体透明度达到1.5米，景观优美，保证率80%；</w:t>
            </w:r>
          </w:p>
          <w:p>
            <w:pPr>
              <w:rPr>
                <w:rFonts w:ascii="宋体" w:hAnsi="宋体"/>
                <w:b/>
                <w:szCs w:val="21"/>
              </w:rPr>
            </w:pPr>
            <w:r>
              <w:rPr>
                <w:rFonts w:hint="eastAsia" w:ascii="宋体" w:hAnsi="宋体"/>
                <w:szCs w:val="21"/>
              </w:rPr>
              <w:t xml:space="preserve">  （5）沉水植被覆盖率超过70%，生态系统结构完善系统经过科学维护，浮游藻类与悬浮颗粒物大量减少，透明度显著增加，施工完毕后都可达到清澈见底的效果。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9257" w:type="dxa"/>
            <w:gridSpan w:val="11"/>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b/>
                <w:szCs w:val="21"/>
              </w:rPr>
            </w:pPr>
            <w:r>
              <w:rPr>
                <w:rFonts w:hint="eastAsia" w:ascii="宋体" w:hAnsi="宋体"/>
                <w:b/>
                <w:szCs w:val="21"/>
              </w:rPr>
              <w:t>二、项目参数需求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序号</w:t>
            </w:r>
          </w:p>
        </w:tc>
        <w:tc>
          <w:tcPr>
            <w:tcW w:w="1859"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采购物品名称</w:t>
            </w: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数量</w:t>
            </w:r>
          </w:p>
        </w:tc>
        <w:tc>
          <w:tcPr>
            <w:tcW w:w="97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单位</w:t>
            </w:r>
          </w:p>
        </w:tc>
        <w:tc>
          <w:tcPr>
            <w:tcW w:w="4599"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项目详情及物品参数需求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kern w:val="0"/>
                <w:szCs w:val="21"/>
              </w:rPr>
            </w:pPr>
            <w:r>
              <w:rPr>
                <w:rFonts w:hint="eastAsia" w:ascii="宋体" w:hAnsi="宋体" w:cs="宋体"/>
                <w:kern w:val="0"/>
                <w:szCs w:val="21"/>
              </w:rPr>
              <w:t>1</w:t>
            </w:r>
          </w:p>
        </w:tc>
        <w:tc>
          <w:tcPr>
            <w:tcW w:w="1859"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kern w:val="0"/>
                <w:szCs w:val="21"/>
              </w:rPr>
            </w:pPr>
            <w:r>
              <w:rPr>
                <w:rFonts w:hint="eastAsia" w:ascii="宋体" w:hAnsi="宋体" w:cs="宋体"/>
                <w:kern w:val="0"/>
                <w:szCs w:val="21"/>
              </w:rPr>
              <w:t>广西中医药大学阿平湖（小池）生态养护服务项目</w:t>
            </w:r>
          </w:p>
        </w:tc>
        <w:tc>
          <w:tcPr>
            <w:tcW w:w="99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kern w:val="0"/>
                <w:szCs w:val="21"/>
              </w:rPr>
            </w:pPr>
            <w:r>
              <w:rPr>
                <w:rFonts w:hint="eastAsia" w:ascii="宋体" w:hAnsi="宋体" w:cs="宋体"/>
                <w:kern w:val="0"/>
                <w:szCs w:val="21"/>
              </w:rPr>
              <w:t>1620</w:t>
            </w:r>
          </w:p>
        </w:tc>
        <w:tc>
          <w:tcPr>
            <w:tcW w:w="977"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kern w:val="0"/>
                <w:szCs w:val="21"/>
              </w:rPr>
            </w:pPr>
            <w:r>
              <w:rPr>
                <w:rFonts w:hint="eastAsia" w:ascii="宋体" w:hAnsi="宋体" w:cs="宋体"/>
                <w:kern w:val="0"/>
                <w:szCs w:val="21"/>
              </w:rPr>
              <w:t>平方</w:t>
            </w:r>
          </w:p>
        </w:tc>
        <w:tc>
          <w:tcPr>
            <w:tcW w:w="4599" w:type="dxa"/>
            <w:gridSpan w:val="3"/>
            <w:tcBorders>
              <w:top w:val="single" w:color="auto" w:sz="4" w:space="0"/>
              <w:left w:val="single" w:color="auto" w:sz="4" w:space="0"/>
              <w:bottom w:val="single" w:color="auto" w:sz="4" w:space="0"/>
              <w:right w:val="single" w:color="auto" w:sz="4" w:space="0"/>
            </w:tcBorders>
            <w:vAlign w:val="center"/>
          </w:tcPr>
          <w:p>
            <w:pPr>
              <w:numPr>
                <w:ilvl w:val="0"/>
                <w:numId w:val="1"/>
              </w:numPr>
              <w:rPr>
                <w:rFonts w:ascii="宋体" w:hAnsi="宋体" w:cs="宋体"/>
                <w:kern w:val="0"/>
                <w:szCs w:val="21"/>
              </w:rPr>
            </w:pPr>
            <w:r>
              <w:rPr>
                <w:rFonts w:hint="eastAsia" w:ascii="宋体" w:hAnsi="宋体" w:cs="宋体"/>
                <w:kern w:val="0"/>
                <w:szCs w:val="21"/>
              </w:rPr>
              <w:t>底泥处理改善修复；</w:t>
            </w:r>
          </w:p>
          <w:p>
            <w:pPr>
              <w:numPr>
                <w:ilvl w:val="0"/>
                <w:numId w:val="1"/>
              </w:numPr>
              <w:rPr>
                <w:rFonts w:ascii="宋体" w:hAnsi="宋体" w:cs="宋体"/>
                <w:kern w:val="0"/>
                <w:szCs w:val="21"/>
              </w:rPr>
            </w:pPr>
            <w:r>
              <w:rPr>
                <w:rFonts w:hint="eastAsia" w:ascii="宋体" w:hAnsi="宋体" w:cs="宋体"/>
                <w:kern w:val="0"/>
                <w:szCs w:val="21"/>
              </w:rPr>
              <w:t>种植四季常绿矮型苦草等植物，植物高15-26cm，120-150株/m</w:t>
            </w:r>
            <w:r>
              <w:rPr>
                <w:rFonts w:hint="eastAsia" w:ascii="宋体" w:hAnsi="宋体" w:cs="宋体"/>
                <w:kern w:val="0"/>
                <w:szCs w:val="21"/>
                <w:vertAlign w:val="superscript"/>
              </w:rPr>
              <w:t>2</w:t>
            </w:r>
            <w:r>
              <w:rPr>
                <w:rFonts w:hint="eastAsia" w:ascii="宋体" w:hAnsi="宋体" w:cs="宋体"/>
                <w:kern w:val="0"/>
                <w:szCs w:val="21"/>
              </w:rPr>
              <w:t>；</w:t>
            </w:r>
          </w:p>
          <w:p>
            <w:pPr>
              <w:numPr>
                <w:ilvl w:val="0"/>
                <w:numId w:val="1"/>
              </w:numPr>
              <w:rPr>
                <w:rFonts w:ascii="宋体" w:hAnsi="宋体" w:cs="宋体"/>
                <w:kern w:val="0"/>
                <w:szCs w:val="21"/>
              </w:rPr>
            </w:pPr>
            <w:r>
              <w:rPr>
                <w:rFonts w:hint="eastAsia" w:ascii="宋体" w:hAnsi="宋体" w:cs="宋体"/>
                <w:kern w:val="0"/>
                <w:szCs w:val="21"/>
              </w:rPr>
              <w:t>培养水生动物鱼、虾、螺共计约10公斤；</w:t>
            </w:r>
          </w:p>
          <w:p>
            <w:pPr>
              <w:numPr>
                <w:ilvl w:val="0"/>
                <w:numId w:val="1"/>
              </w:numPr>
              <w:rPr>
                <w:rFonts w:ascii="宋体" w:hAnsi="宋体" w:cs="宋体"/>
                <w:kern w:val="0"/>
                <w:szCs w:val="21"/>
              </w:rPr>
            </w:pPr>
            <w:r>
              <w:rPr>
                <w:rFonts w:hint="eastAsia" w:ascii="宋体" w:hAnsi="宋体" w:cs="宋体"/>
                <w:kern w:val="0"/>
                <w:szCs w:val="21"/>
              </w:rPr>
              <w:t>对水生植物施肥、防病除害、修剪、更换，水生生物调整、补种和优化水生态调整；</w:t>
            </w:r>
          </w:p>
          <w:p>
            <w:pPr>
              <w:rPr>
                <w:rFonts w:ascii="宋体" w:hAnsi="宋体" w:cs="宋体"/>
                <w:kern w:val="0"/>
                <w:szCs w:val="21"/>
              </w:rPr>
            </w:pPr>
            <w:r>
              <w:rPr>
                <w:rFonts w:hint="eastAsia" w:ascii="宋体" w:hAnsi="宋体" w:cs="宋体"/>
                <w:kern w:val="0"/>
                <w:szCs w:val="21"/>
              </w:rPr>
              <w:t>5、对水质进行采样检测（含5年运营维护技术服务，2年质保期）。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 w:hRule="atLeast"/>
          <w:jc w:val="center"/>
        </w:trPr>
        <w:tc>
          <w:tcPr>
            <w:tcW w:w="9257" w:type="dxa"/>
            <w:gridSpan w:val="11"/>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kern w:val="0"/>
                <w:szCs w:val="21"/>
              </w:rPr>
            </w:pPr>
            <w:r>
              <w:rPr>
                <w:rFonts w:hint="eastAsia" w:ascii="宋体" w:hAnsi="宋体" w:cs="宋体"/>
                <w:b/>
                <w:bCs/>
                <w:kern w:val="0"/>
                <w:szCs w:val="21"/>
              </w:rPr>
              <w:t>三、</w:t>
            </w:r>
            <w:bookmarkStart w:id="1" w:name="OLE_LINK1"/>
            <w:r>
              <w:rPr>
                <w:rFonts w:hint="eastAsia" w:ascii="宋体" w:hAnsi="宋体" w:cs="宋体"/>
                <w:b/>
                <w:bCs/>
                <w:kern w:val="0"/>
                <w:szCs w:val="21"/>
              </w:rPr>
              <w:t>项目明细需求</w:t>
            </w:r>
            <w:bookmarkEnd w:id="1"/>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kern w:val="0"/>
                <w:szCs w:val="21"/>
              </w:rPr>
            </w:pPr>
            <w:r>
              <w:rPr>
                <w:rFonts w:hint="eastAsia" w:ascii="宋体" w:hAnsi="宋体" w:cs="宋体"/>
                <w:kern w:val="0"/>
                <w:szCs w:val="21"/>
              </w:rPr>
              <w:t>序号</w:t>
            </w:r>
          </w:p>
        </w:tc>
        <w:tc>
          <w:tcPr>
            <w:tcW w:w="1425"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kern w:val="0"/>
                <w:szCs w:val="21"/>
              </w:rPr>
            </w:pPr>
            <w:r>
              <w:rPr>
                <w:rFonts w:hint="eastAsia" w:ascii="宋体" w:hAnsi="宋体" w:cs="宋体"/>
                <w:kern w:val="0"/>
                <w:szCs w:val="21"/>
              </w:rPr>
              <w:t>项目名称</w:t>
            </w:r>
          </w:p>
        </w:tc>
        <w:tc>
          <w:tcPr>
            <w:tcW w:w="2220"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kern w:val="0"/>
                <w:szCs w:val="21"/>
              </w:rPr>
            </w:pPr>
            <w:r>
              <w:rPr>
                <w:rFonts w:hint="eastAsia" w:ascii="宋体" w:hAnsi="宋体" w:cs="宋体"/>
                <w:kern w:val="0"/>
                <w:szCs w:val="21"/>
              </w:rPr>
              <w:t>主要内容</w:t>
            </w:r>
          </w:p>
        </w:tc>
        <w:tc>
          <w:tcPr>
            <w:tcW w:w="69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kern w:val="0"/>
                <w:szCs w:val="21"/>
              </w:rPr>
            </w:pPr>
            <w:r>
              <w:rPr>
                <w:rFonts w:hint="eastAsia" w:ascii="宋体" w:hAnsi="宋体" w:cs="宋体"/>
                <w:kern w:val="0"/>
                <w:szCs w:val="21"/>
              </w:rPr>
              <w:t>数量</w:t>
            </w:r>
          </w:p>
        </w:tc>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kern w:val="0"/>
                <w:szCs w:val="21"/>
              </w:rPr>
            </w:pPr>
            <w:r>
              <w:rPr>
                <w:rFonts w:hint="eastAsia" w:ascii="宋体" w:hAnsi="宋体" w:cs="宋体"/>
                <w:kern w:val="0"/>
                <w:szCs w:val="21"/>
              </w:rPr>
              <w:t>单位</w:t>
            </w:r>
          </w:p>
        </w:tc>
        <w:tc>
          <w:tcPr>
            <w:tcW w:w="352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kern w:val="0"/>
                <w:szCs w:val="21"/>
              </w:rPr>
            </w:pPr>
            <w:r>
              <w:rPr>
                <w:rFonts w:hint="eastAsia" w:ascii="宋体" w:hAnsi="宋体" w:cs="宋体"/>
                <w:kern w:val="0"/>
                <w:szCs w:val="21"/>
              </w:rPr>
              <w:t>服务总体目标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kern w:val="0"/>
                <w:szCs w:val="21"/>
              </w:rPr>
            </w:pPr>
            <w:r>
              <w:rPr>
                <w:rFonts w:hint="eastAsia" w:ascii="宋体" w:hAnsi="宋体" w:cs="宋体"/>
                <w:kern w:val="0"/>
                <w:szCs w:val="21"/>
              </w:rPr>
              <w:t>1</w:t>
            </w:r>
          </w:p>
        </w:tc>
        <w:tc>
          <w:tcPr>
            <w:tcW w:w="1425"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cs="宋体"/>
                <w:kern w:val="0"/>
                <w:szCs w:val="21"/>
              </w:rPr>
            </w:pPr>
            <w:r>
              <w:rPr>
                <w:rFonts w:hint="eastAsia" w:ascii="宋体" w:hAnsi="宋体" w:cs="宋体"/>
                <w:kern w:val="0"/>
                <w:szCs w:val="21"/>
              </w:rPr>
              <w:t>底泥处理</w:t>
            </w:r>
          </w:p>
        </w:tc>
        <w:tc>
          <w:tcPr>
            <w:tcW w:w="2220"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kern w:val="0"/>
                <w:szCs w:val="21"/>
              </w:rPr>
            </w:pPr>
            <w:r>
              <w:rPr>
                <w:rFonts w:hint="eastAsia" w:ascii="宋体" w:hAnsi="宋体" w:cs="宋体"/>
                <w:kern w:val="0"/>
                <w:szCs w:val="21"/>
              </w:rPr>
              <w:t>改善修复</w:t>
            </w:r>
          </w:p>
        </w:tc>
        <w:tc>
          <w:tcPr>
            <w:tcW w:w="69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kern w:val="0"/>
                <w:szCs w:val="21"/>
              </w:rPr>
            </w:pPr>
            <w:r>
              <w:rPr>
                <w:rFonts w:hint="eastAsia" w:ascii="宋体" w:hAnsi="宋体" w:cs="宋体"/>
                <w:kern w:val="0"/>
                <w:szCs w:val="21"/>
              </w:rPr>
              <w:t>1620</w:t>
            </w:r>
          </w:p>
        </w:tc>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kern w:val="0"/>
                <w:szCs w:val="21"/>
              </w:rPr>
            </w:pPr>
            <w:r>
              <w:rPr>
                <w:rFonts w:hint="eastAsia" w:ascii="宋体" w:hAnsi="宋体" w:cs="宋体"/>
                <w:kern w:val="0"/>
                <w:szCs w:val="21"/>
              </w:rPr>
              <w:t>㎡</w:t>
            </w:r>
          </w:p>
        </w:tc>
        <w:tc>
          <w:tcPr>
            <w:tcW w:w="3523" w:type="dxa"/>
            <w:vMerge w:val="restart"/>
            <w:tcBorders>
              <w:top w:val="single" w:color="auto" w:sz="4" w:space="0"/>
              <w:left w:val="single" w:color="auto" w:sz="4" w:space="0"/>
              <w:right w:val="single" w:color="auto" w:sz="4" w:space="0"/>
            </w:tcBorders>
            <w:vAlign w:val="center"/>
          </w:tcPr>
          <w:p>
            <w:pPr>
              <w:spacing w:line="400" w:lineRule="exact"/>
              <w:jc w:val="left"/>
              <w:rPr>
                <w:rFonts w:ascii="宋体" w:hAnsi="宋体" w:cs="宋体"/>
                <w:kern w:val="0"/>
                <w:szCs w:val="21"/>
              </w:rPr>
            </w:pPr>
            <w:r>
              <w:rPr>
                <w:rFonts w:hint="eastAsia" w:ascii="宋体" w:hAnsi="宋体" w:cs="宋体"/>
                <w:kern w:val="0"/>
                <w:szCs w:val="21"/>
              </w:rPr>
              <w:t>湖体生态系统结构完善，水体透明度恢复：构建水生植被系统，建立合理的食物网，加以人工调整与优化，提升湖体自净能力，长效维持清水态（清澈见底）。维持良好水质,沉水植被覆盖率超过70%，：年均水体主要富营养化指标（总磷、氨氮、高锰酸钾指数</w:t>
            </w:r>
            <w:r>
              <w:rPr>
                <w:rFonts w:hint="eastAsia" w:ascii="宋体" w:hAnsi="宋体" w:cs="宋体"/>
                <w:kern w:val="0"/>
                <w:szCs w:val="21"/>
                <w:lang w:eastAsia="zh-CN"/>
              </w:rPr>
              <w:t>、</w:t>
            </w:r>
            <w:r>
              <w:rPr>
                <w:rFonts w:hint="eastAsia" w:ascii="宋体" w:hAnsi="宋体" w:cs="宋体"/>
                <w:kern w:val="0"/>
                <w:szCs w:val="21"/>
              </w:rPr>
              <w:t>溶解氧）达到国家《地表水环境质量标准》（GB 3838-2002）III类标准。杜绝蓝绿藻水华现象：叶绿素含量小于20ug/，含5年运营维护技术服务，2年质保期。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kern w:val="0"/>
                <w:szCs w:val="21"/>
              </w:rPr>
            </w:pPr>
            <w:r>
              <w:rPr>
                <w:rFonts w:hint="eastAsia" w:ascii="宋体" w:hAnsi="宋体" w:cs="宋体"/>
                <w:kern w:val="0"/>
                <w:szCs w:val="21"/>
              </w:rPr>
              <w:t>2</w:t>
            </w:r>
          </w:p>
        </w:tc>
        <w:tc>
          <w:tcPr>
            <w:tcW w:w="1425"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cs="宋体"/>
                <w:kern w:val="0"/>
                <w:szCs w:val="21"/>
              </w:rPr>
            </w:pPr>
            <w:r>
              <w:rPr>
                <w:rFonts w:hint="eastAsia" w:ascii="宋体" w:hAnsi="宋体" w:cs="宋体"/>
                <w:kern w:val="0"/>
                <w:szCs w:val="21"/>
              </w:rPr>
              <w:t>种植四季常绿矮型苦草、马来眼子菜与轮藻等</w:t>
            </w:r>
          </w:p>
        </w:tc>
        <w:tc>
          <w:tcPr>
            <w:tcW w:w="2220"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kern w:val="0"/>
                <w:szCs w:val="21"/>
              </w:rPr>
            </w:pPr>
            <w:r>
              <w:rPr>
                <w:rFonts w:hint="eastAsia" w:ascii="宋体" w:hAnsi="宋体" w:cs="宋体"/>
                <w:kern w:val="0"/>
                <w:szCs w:val="21"/>
              </w:rPr>
              <w:t>高15-26cm、</w:t>
            </w:r>
          </w:p>
          <w:p>
            <w:pPr>
              <w:spacing w:line="400" w:lineRule="exact"/>
              <w:jc w:val="center"/>
              <w:rPr>
                <w:rFonts w:ascii="宋体" w:hAnsi="宋体" w:cs="宋体"/>
                <w:kern w:val="0"/>
                <w:szCs w:val="21"/>
              </w:rPr>
            </w:pPr>
            <w:r>
              <w:rPr>
                <w:rFonts w:hint="eastAsia" w:ascii="宋体" w:hAnsi="宋体" w:cs="宋体"/>
                <w:kern w:val="0"/>
                <w:szCs w:val="21"/>
              </w:rPr>
              <w:t>120-150株/㎡</w:t>
            </w:r>
          </w:p>
        </w:tc>
        <w:tc>
          <w:tcPr>
            <w:tcW w:w="69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kern w:val="0"/>
                <w:szCs w:val="21"/>
              </w:rPr>
            </w:pPr>
            <w:r>
              <w:rPr>
                <w:rFonts w:hint="eastAsia" w:ascii="宋体" w:hAnsi="宋体" w:cs="宋体"/>
                <w:kern w:val="0"/>
                <w:szCs w:val="21"/>
              </w:rPr>
              <w:t>1620</w:t>
            </w:r>
          </w:p>
        </w:tc>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kern w:val="0"/>
                <w:szCs w:val="21"/>
              </w:rPr>
            </w:pPr>
            <w:r>
              <w:rPr>
                <w:rFonts w:hint="eastAsia" w:ascii="宋体" w:hAnsi="宋体" w:cs="宋体"/>
                <w:kern w:val="0"/>
                <w:szCs w:val="21"/>
              </w:rPr>
              <w:t>㎡</w:t>
            </w:r>
          </w:p>
        </w:tc>
        <w:tc>
          <w:tcPr>
            <w:tcW w:w="3523" w:type="dxa"/>
            <w:vMerge w:val="continue"/>
            <w:tcBorders>
              <w:left w:val="single" w:color="auto" w:sz="4" w:space="0"/>
              <w:right w:val="single" w:color="auto" w:sz="4" w:space="0"/>
            </w:tcBorders>
            <w:vAlign w:val="center"/>
          </w:tcPr>
          <w:p>
            <w:pPr>
              <w:spacing w:line="4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kern w:val="0"/>
                <w:szCs w:val="21"/>
              </w:rPr>
            </w:pPr>
            <w:r>
              <w:rPr>
                <w:rFonts w:hint="eastAsia" w:ascii="宋体" w:hAnsi="宋体" w:cs="宋体"/>
                <w:kern w:val="0"/>
                <w:szCs w:val="21"/>
              </w:rPr>
              <w:t>3</w:t>
            </w:r>
          </w:p>
        </w:tc>
        <w:tc>
          <w:tcPr>
            <w:tcW w:w="1425"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cs="宋体"/>
                <w:kern w:val="0"/>
                <w:szCs w:val="21"/>
              </w:rPr>
            </w:pPr>
            <w:r>
              <w:rPr>
                <w:rFonts w:hint="eastAsia" w:ascii="宋体" w:hAnsi="宋体" w:cs="宋体"/>
                <w:kern w:val="0"/>
                <w:szCs w:val="21"/>
              </w:rPr>
              <w:t>食藻微生物</w:t>
            </w:r>
          </w:p>
        </w:tc>
        <w:tc>
          <w:tcPr>
            <w:tcW w:w="2220"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kern w:val="0"/>
                <w:szCs w:val="21"/>
              </w:rPr>
            </w:pPr>
            <w:r>
              <w:rPr>
                <w:rFonts w:hint="eastAsia" w:ascii="宋体" w:hAnsi="宋体" w:cs="宋体"/>
                <w:kern w:val="0"/>
                <w:szCs w:val="21"/>
              </w:rPr>
              <w:t xml:space="preserve"> /</w:t>
            </w:r>
          </w:p>
        </w:tc>
        <w:tc>
          <w:tcPr>
            <w:tcW w:w="69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kern w:val="0"/>
                <w:szCs w:val="21"/>
              </w:rPr>
            </w:pPr>
            <w:r>
              <w:rPr>
                <w:rFonts w:hint="eastAsia" w:ascii="宋体" w:hAnsi="宋体" w:cs="宋体"/>
                <w:kern w:val="0"/>
                <w:szCs w:val="21"/>
              </w:rPr>
              <w:t>1620</w:t>
            </w:r>
          </w:p>
        </w:tc>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kern w:val="0"/>
                <w:szCs w:val="21"/>
              </w:rPr>
            </w:pPr>
            <w:r>
              <w:rPr>
                <w:rFonts w:hint="eastAsia" w:ascii="宋体" w:hAnsi="宋体" w:cs="宋体"/>
                <w:kern w:val="0"/>
                <w:szCs w:val="21"/>
              </w:rPr>
              <w:t>㎡</w:t>
            </w:r>
          </w:p>
        </w:tc>
        <w:tc>
          <w:tcPr>
            <w:tcW w:w="3523" w:type="dxa"/>
            <w:vMerge w:val="continue"/>
            <w:tcBorders>
              <w:left w:val="single" w:color="auto" w:sz="4" w:space="0"/>
              <w:right w:val="single" w:color="auto" w:sz="4" w:space="0"/>
            </w:tcBorders>
            <w:vAlign w:val="center"/>
          </w:tcPr>
          <w:p>
            <w:pPr>
              <w:spacing w:line="4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kern w:val="0"/>
                <w:szCs w:val="21"/>
              </w:rPr>
            </w:pPr>
            <w:r>
              <w:rPr>
                <w:rFonts w:hint="eastAsia" w:ascii="宋体" w:hAnsi="宋体" w:cs="宋体"/>
                <w:kern w:val="0"/>
                <w:szCs w:val="21"/>
              </w:rPr>
              <w:t>4</w:t>
            </w:r>
          </w:p>
        </w:tc>
        <w:tc>
          <w:tcPr>
            <w:tcW w:w="1425"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cs="宋体"/>
                <w:kern w:val="0"/>
                <w:szCs w:val="21"/>
              </w:rPr>
            </w:pPr>
            <w:r>
              <w:rPr>
                <w:rFonts w:hint="eastAsia" w:ascii="宋体" w:hAnsi="宋体" w:cs="宋体"/>
                <w:kern w:val="0"/>
                <w:szCs w:val="21"/>
              </w:rPr>
              <w:t>水生动物</w:t>
            </w:r>
          </w:p>
        </w:tc>
        <w:tc>
          <w:tcPr>
            <w:tcW w:w="2220"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kern w:val="0"/>
                <w:szCs w:val="21"/>
              </w:rPr>
            </w:pPr>
            <w:r>
              <w:rPr>
                <w:rFonts w:hint="eastAsia" w:ascii="宋体" w:hAnsi="宋体" w:cs="宋体"/>
                <w:kern w:val="0"/>
                <w:szCs w:val="21"/>
              </w:rPr>
              <w:t>鱼、虾、螺等</w:t>
            </w:r>
          </w:p>
        </w:tc>
        <w:tc>
          <w:tcPr>
            <w:tcW w:w="69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kern w:val="0"/>
                <w:szCs w:val="21"/>
              </w:rPr>
            </w:pPr>
            <w:r>
              <w:rPr>
                <w:rFonts w:hint="eastAsia" w:ascii="宋体" w:hAnsi="宋体" w:cs="宋体"/>
                <w:kern w:val="0"/>
                <w:szCs w:val="21"/>
              </w:rPr>
              <w:t>10</w:t>
            </w:r>
          </w:p>
        </w:tc>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kern w:val="0"/>
                <w:szCs w:val="21"/>
              </w:rPr>
            </w:pPr>
            <w:r>
              <w:rPr>
                <w:rFonts w:hint="eastAsia" w:ascii="宋体" w:hAnsi="宋体" w:cs="宋体"/>
                <w:kern w:val="0"/>
                <w:szCs w:val="21"/>
              </w:rPr>
              <w:t>公斤</w:t>
            </w:r>
          </w:p>
        </w:tc>
        <w:tc>
          <w:tcPr>
            <w:tcW w:w="3523" w:type="dxa"/>
            <w:vMerge w:val="continue"/>
            <w:tcBorders>
              <w:left w:val="single" w:color="auto" w:sz="4" w:space="0"/>
              <w:right w:val="single" w:color="auto" w:sz="4" w:space="0"/>
            </w:tcBorders>
            <w:vAlign w:val="center"/>
          </w:tcPr>
          <w:p>
            <w:pPr>
              <w:spacing w:line="4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kern w:val="0"/>
                <w:szCs w:val="21"/>
              </w:rPr>
            </w:pPr>
            <w:r>
              <w:rPr>
                <w:rFonts w:hint="eastAsia" w:ascii="宋体" w:hAnsi="宋体" w:cs="宋体"/>
                <w:kern w:val="0"/>
                <w:szCs w:val="21"/>
              </w:rPr>
              <w:t>5</w:t>
            </w:r>
          </w:p>
        </w:tc>
        <w:tc>
          <w:tcPr>
            <w:tcW w:w="1425"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cs="宋体"/>
                <w:kern w:val="0"/>
                <w:szCs w:val="21"/>
              </w:rPr>
            </w:pPr>
            <w:r>
              <w:rPr>
                <w:rFonts w:hint="eastAsia" w:ascii="宋体" w:hAnsi="宋体" w:cs="宋体"/>
                <w:kern w:val="0"/>
                <w:szCs w:val="21"/>
              </w:rPr>
              <w:t>水生态调整优化</w:t>
            </w:r>
          </w:p>
        </w:tc>
        <w:tc>
          <w:tcPr>
            <w:tcW w:w="2220"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cs="宋体"/>
                <w:kern w:val="0"/>
                <w:szCs w:val="21"/>
              </w:rPr>
            </w:pPr>
            <w:r>
              <w:rPr>
                <w:rFonts w:hint="eastAsia" w:ascii="宋体" w:hAnsi="宋体" w:cs="宋体"/>
                <w:kern w:val="0"/>
                <w:szCs w:val="21"/>
              </w:rPr>
              <w:t>水生植物施肥、防病除害、修剪、更换，水生物调整、补种和优化</w:t>
            </w:r>
          </w:p>
        </w:tc>
        <w:tc>
          <w:tcPr>
            <w:tcW w:w="69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kern w:val="0"/>
                <w:szCs w:val="21"/>
              </w:rPr>
            </w:pPr>
            <w:r>
              <w:rPr>
                <w:rFonts w:hint="eastAsia" w:ascii="宋体" w:hAnsi="宋体" w:cs="宋体"/>
                <w:kern w:val="0"/>
                <w:szCs w:val="21"/>
              </w:rPr>
              <w:t>1</w:t>
            </w:r>
          </w:p>
        </w:tc>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kern w:val="0"/>
                <w:szCs w:val="21"/>
              </w:rPr>
            </w:pPr>
            <w:r>
              <w:rPr>
                <w:rFonts w:hint="eastAsia" w:ascii="宋体" w:hAnsi="宋体" w:cs="宋体"/>
                <w:kern w:val="0"/>
                <w:szCs w:val="21"/>
              </w:rPr>
              <w:t>次</w:t>
            </w:r>
          </w:p>
        </w:tc>
        <w:tc>
          <w:tcPr>
            <w:tcW w:w="3523" w:type="dxa"/>
            <w:vMerge w:val="continue"/>
            <w:tcBorders>
              <w:left w:val="single" w:color="auto" w:sz="4" w:space="0"/>
              <w:right w:val="single" w:color="auto" w:sz="4" w:space="0"/>
            </w:tcBorders>
            <w:vAlign w:val="center"/>
          </w:tcPr>
          <w:p>
            <w:pPr>
              <w:spacing w:line="4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kern w:val="0"/>
                <w:szCs w:val="21"/>
              </w:rPr>
            </w:pPr>
            <w:r>
              <w:rPr>
                <w:rFonts w:hint="eastAsia" w:ascii="宋体" w:hAnsi="宋体" w:cs="宋体"/>
                <w:kern w:val="0"/>
                <w:szCs w:val="21"/>
              </w:rPr>
              <w:t>6</w:t>
            </w:r>
          </w:p>
        </w:tc>
        <w:tc>
          <w:tcPr>
            <w:tcW w:w="1425"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cs="宋体"/>
                <w:kern w:val="0"/>
                <w:szCs w:val="21"/>
              </w:rPr>
            </w:pPr>
            <w:r>
              <w:rPr>
                <w:rFonts w:hint="eastAsia" w:ascii="宋体" w:hAnsi="宋体" w:cs="宋体"/>
                <w:kern w:val="0"/>
                <w:szCs w:val="21"/>
              </w:rPr>
              <w:t>水质监测</w:t>
            </w:r>
          </w:p>
        </w:tc>
        <w:tc>
          <w:tcPr>
            <w:tcW w:w="2220"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eastAsiaTheme="minorEastAsia"/>
                <w:kern w:val="0"/>
                <w:szCs w:val="21"/>
                <w:lang w:eastAsia="zh-CN"/>
              </w:rPr>
            </w:pPr>
            <w:r>
              <w:rPr>
                <w:rFonts w:hint="eastAsia" w:ascii="宋体" w:hAnsi="宋体" w:cs="宋体"/>
                <w:kern w:val="0"/>
                <w:szCs w:val="21"/>
              </w:rPr>
              <w:t>对水质进行采</w:t>
            </w:r>
            <w:r>
              <w:rPr>
                <w:rFonts w:hint="eastAsia" w:ascii="宋体" w:hAnsi="宋体" w:cs="宋体"/>
                <w:color w:val="auto"/>
                <w:kern w:val="0"/>
                <w:szCs w:val="21"/>
              </w:rPr>
              <w:t>样检测</w:t>
            </w:r>
            <w:r>
              <w:rPr>
                <w:rFonts w:hint="eastAsia" w:ascii="宋体" w:hAnsi="宋体" w:cs="宋体"/>
                <w:color w:val="auto"/>
                <w:kern w:val="0"/>
                <w:szCs w:val="21"/>
                <w:lang w:val="en-US" w:eastAsia="zh-CN"/>
              </w:rPr>
              <w:t>并提供报告</w:t>
            </w:r>
          </w:p>
        </w:tc>
        <w:tc>
          <w:tcPr>
            <w:tcW w:w="69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kern w:val="0"/>
                <w:szCs w:val="21"/>
              </w:rPr>
            </w:pPr>
            <w:r>
              <w:rPr>
                <w:rFonts w:hint="eastAsia" w:ascii="宋体" w:hAnsi="宋体" w:cs="宋体"/>
                <w:kern w:val="0"/>
                <w:szCs w:val="21"/>
              </w:rPr>
              <w:t>2</w:t>
            </w:r>
          </w:p>
        </w:tc>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kern w:val="0"/>
                <w:szCs w:val="21"/>
              </w:rPr>
            </w:pPr>
            <w:r>
              <w:rPr>
                <w:rFonts w:hint="eastAsia" w:ascii="宋体" w:hAnsi="宋体" w:cs="宋体"/>
                <w:kern w:val="0"/>
                <w:szCs w:val="21"/>
              </w:rPr>
              <w:t>次</w:t>
            </w:r>
          </w:p>
        </w:tc>
        <w:tc>
          <w:tcPr>
            <w:tcW w:w="3523" w:type="dxa"/>
            <w:vMerge w:val="continue"/>
            <w:tcBorders>
              <w:left w:val="single" w:color="auto" w:sz="4" w:space="0"/>
              <w:bottom w:val="single" w:color="auto" w:sz="4" w:space="0"/>
              <w:right w:val="single" w:color="auto" w:sz="4" w:space="0"/>
            </w:tcBorders>
            <w:vAlign w:val="center"/>
          </w:tcPr>
          <w:p>
            <w:pPr>
              <w:spacing w:line="4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 w:hRule="atLeast"/>
          <w:jc w:val="center"/>
        </w:trPr>
        <w:tc>
          <w:tcPr>
            <w:tcW w:w="9257" w:type="dxa"/>
            <w:gridSpan w:val="11"/>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kern w:val="0"/>
                <w:szCs w:val="21"/>
              </w:rPr>
            </w:pPr>
            <w:r>
              <w:rPr>
                <w:rFonts w:hint="eastAsia" w:ascii="宋体" w:hAnsi="宋体" w:cs="宋体"/>
                <w:kern w:val="0"/>
                <w:szCs w:val="21"/>
              </w:rPr>
              <w:t>合计：</w:t>
            </w:r>
            <w:bookmarkStart w:id="3" w:name="_GoBack"/>
            <w:bookmarkEnd w:id="3"/>
            <w:r>
              <w:rPr>
                <w:rFonts w:hint="eastAsia" w:ascii="宋体" w:hAnsi="宋体" w:cs="宋体"/>
                <w:kern w:val="0"/>
                <w:szCs w:val="21"/>
              </w:rPr>
              <w:t>97200</w:t>
            </w:r>
            <w:r>
              <w:rPr>
                <w:rFonts w:hint="eastAsia" w:ascii="宋体" w:hAnsi="宋体" w:cs="宋体"/>
                <w:kern w:val="0"/>
                <w:szCs w:val="21"/>
                <w:lang w:val="en-US" w:eastAsia="zh-CN"/>
              </w:rPr>
              <w:t>.00</w:t>
            </w:r>
            <w:r>
              <w:rPr>
                <w:rFonts w:hint="eastAsia" w:ascii="宋体" w:hAnsi="宋体" w:cs="宋体"/>
                <w:kern w:val="0"/>
                <w:szCs w:val="21"/>
              </w:rPr>
              <w:t>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1" w:hRule="atLeast"/>
          <w:jc w:val="center"/>
        </w:trPr>
        <w:tc>
          <w:tcPr>
            <w:tcW w:w="9257" w:type="dxa"/>
            <w:gridSpan w:val="11"/>
            <w:tcBorders>
              <w:top w:val="single" w:color="auto" w:sz="4" w:space="0"/>
              <w:left w:val="single" w:color="auto" w:sz="4" w:space="0"/>
              <w:bottom w:val="single" w:color="auto" w:sz="4" w:space="0"/>
              <w:right w:val="single" w:color="auto" w:sz="4" w:space="0"/>
            </w:tcBorders>
            <w:vAlign w:val="center"/>
          </w:tcPr>
          <w:p>
            <w:pPr>
              <w:tabs>
                <w:tab w:val="left" w:pos="1820"/>
              </w:tabs>
              <w:spacing w:line="360" w:lineRule="auto"/>
              <w:rPr>
                <w:rFonts w:ascii="宋体" w:hAnsi="宋体" w:cs="宋体"/>
                <w:kern w:val="0"/>
                <w:szCs w:val="21"/>
              </w:rPr>
            </w:pPr>
            <w:r>
              <w:rPr>
                <w:rFonts w:hint="eastAsia" w:ascii="宋体" w:hAnsi="宋体" w:cs="宋体"/>
                <w:b/>
                <w:bCs/>
                <w:kern w:val="0"/>
                <w:szCs w:val="21"/>
              </w:rPr>
              <w:t>四、</w:t>
            </w:r>
            <w:bookmarkStart w:id="2" w:name="OLE_LINK2"/>
            <w:r>
              <w:rPr>
                <w:rFonts w:hint="eastAsia" w:ascii="宋体" w:hAnsi="宋体" w:cs="宋体"/>
                <w:b/>
                <w:bCs/>
                <w:kern w:val="0"/>
                <w:szCs w:val="21"/>
              </w:rPr>
              <w:t>商务需求</w:t>
            </w:r>
            <w:bookmarkEnd w:id="2"/>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jc w:val="center"/>
        </w:trPr>
        <w:tc>
          <w:tcPr>
            <w:tcW w:w="1813"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宋体"/>
                <w:kern w:val="0"/>
                <w:szCs w:val="21"/>
              </w:rPr>
            </w:pPr>
            <w:r>
              <w:rPr>
                <w:rFonts w:hint="eastAsia" w:ascii="宋体" w:hAnsi="宋体"/>
                <w:szCs w:val="21"/>
              </w:rPr>
              <w:t>服务时间及地点</w:t>
            </w:r>
          </w:p>
        </w:tc>
        <w:tc>
          <w:tcPr>
            <w:tcW w:w="7444" w:type="dxa"/>
            <w:gridSpan w:val="8"/>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宋体"/>
                <w:kern w:val="0"/>
                <w:szCs w:val="21"/>
              </w:rPr>
            </w:pPr>
            <w:r>
              <w:rPr>
                <w:rFonts w:ascii="宋体" w:hAnsi="宋体" w:cs="宋体"/>
                <w:kern w:val="0"/>
                <w:szCs w:val="21"/>
              </w:rPr>
              <w:t>1</w:t>
            </w:r>
            <w:r>
              <w:rPr>
                <w:rFonts w:hint="eastAsia" w:ascii="宋体" w:hAnsi="宋体" w:cs="宋体"/>
                <w:kern w:val="0"/>
                <w:szCs w:val="21"/>
              </w:rPr>
              <w:t>.服务时间</w:t>
            </w:r>
            <w:r>
              <w:rPr>
                <w:rFonts w:ascii="宋体" w:hAnsi="宋体" w:cs="宋体"/>
                <w:kern w:val="0"/>
                <w:szCs w:val="21"/>
              </w:rPr>
              <w:t xml:space="preserve"> </w:t>
            </w:r>
            <w:r>
              <w:rPr>
                <w:rFonts w:hint="eastAsia" w:ascii="宋体" w:hAnsi="宋体" w:cs="宋体"/>
                <w:kern w:val="0"/>
                <w:szCs w:val="21"/>
              </w:rPr>
              <w:t>：合同签订之日起45天（准备期3天，施工期30天，调整期12天），含5年运营维护技术服务，2年质保期（从竣工验收之日算起2年）。</w:t>
            </w:r>
          </w:p>
          <w:p>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rPr>
              <w:t>2.服务地点：广西中医药大学仙葫校区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813"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rPr>
              <w:t>付款</w:t>
            </w:r>
            <w:r>
              <w:rPr>
                <w:rFonts w:hint="eastAsia" w:ascii="宋体" w:hAnsi="宋体"/>
                <w:szCs w:val="21"/>
              </w:rPr>
              <w:t>条件</w:t>
            </w:r>
          </w:p>
        </w:tc>
        <w:tc>
          <w:tcPr>
            <w:tcW w:w="7444" w:type="dxa"/>
            <w:gridSpan w:val="8"/>
            <w:tcBorders>
              <w:top w:val="single" w:color="auto" w:sz="4" w:space="0"/>
              <w:left w:val="single" w:color="auto" w:sz="4" w:space="0"/>
              <w:bottom w:val="single" w:color="auto" w:sz="4" w:space="0"/>
              <w:right w:val="single" w:color="auto" w:sz="4" w:space="0"/>
            </w:tcBorders>
            <w:vAlign w:val="center"/>
          </w:tcPr>
          <w:p>
            <w:pPr>
              <w:pStyle w:val="3"/>
              <w:rPr>
                <w:rFonts w:hint="eastAsia" w:eastAsiaTheme="minorEastAsia"/>
                <w:color w:val="auto"/>
                <w:lang w:eastAsia="zh-CN"/>
              </w:rPr>
            </w:pPr>
            <w:r>
              <w:rPr>
                <w:rFonts w:hint="eastAsia"/>
                <w:color w:val="auto"/>
              </w:rPr>
              <w:t>甲方每次付款前，乙方应开具相应金额</w:t>
            </w:r>
            <w:r>
              <w:rPr>
                <w:rFonts w:hint="eastAsia" w:ascii="宋体" w:hAnsi="宋体" w:cs="宋体"/>
                <w:color w:val="auto"/>
                <w:kern w:val="0"/>
                <w:szCs w:val="21"/>
              </w:rPr>
              <w:t>增值税普通发票</w:t>
            </w:r>
            <w:r>
              <w:rPr>
                <w:rFonts w:hint="eastAsia"/>
                <w:color w:val="auto"/>
              </w:rPr>
              <w:t>的发票给甲方</w:t>
            </w:r>
            <w:r>
              <w:rPr>
                <w:rFonts w:hint="eastAsia"/>
                <w:color w:val="auto"/>
                <w:lang w:eastAsia="zh-CN"/>
              </w:rPr>
              <w:t>。</w:t>
            </w:r>
          </w:p>
          <w:p>
            <w:pPr>
              <w:widowControl/>
              <w:shd w:val="clear" w:color="auto" w:fill="FDFDFE"/>
              <w:jc w:val="left"/>
              <w:rPr>
                <w:rFonts w:hint="eastAsia" w:ascii="PingFang-SC-Regular" w:hAnsi="PingFang-SC-Regular" w:eastAsia="宋体" w:cs="Segoe UI"/>
                <w:color w:val="auto"/>
                <w:kern w:val="0"/>
                <w:sz w:val="23"/>
                <w:szCs w:val="23"/>
              </w:rPr>
            </w:pPr>
            <w:r>
              <w:rPr>
                <w:rFonts w:hint="eastAsia" w:ascii="PingFang-SC-Regular" w:hAnsi="PingFang-SC-Regular" w:eastAsia="宋体" w:cs="Segoe UI"/>
                <w:color w:val="auto"/>
                <w:kern w:val="0"/>
                <w:sz w:val="23"/>
                <w:szCs w:val="23"/>
              </w:rPr>
              <w:t>1、</w:t>
            </w:r>
            <w:r>
              <w:rPr>
                <w:rFonts w:ascii="PingFang-SC-Regular" w:hAnsi="PingFang-SC-Regular" w:eastAsia="宋体" w:cs="Segoe UI"/>
                <w:color w:val="auto"/>
                <w:kern w:val="0"/>
                <w:sz w:val="23"/>
                <w:szCs w:val="23"/>
              </w:rPr>
              <w:t>合同签订后，</w:t>
            </w:r>
            <w:r>
              <w:rPr>
                <w:rFonts w:hint="eastAsia" w:ascii="PingFang-SC-Regular" w:hAnsi="PingFang-SC-Regular" w:eastAsia="宋体" w:cs="Segoe UI"/>
                <w:color w:val="auto"/>
                <w:kern w:val="0"/>
                <w:sz w:val="23"/>
                <w:szCs w:val="23"/>
              </w:rPr>
              <w:t>乙方进场开展服务之日起15个工作日内，</w:t>
            </w:r>
            <w:r>
              <w:rPr>
                <w:rFonts w:ascii="PingFang-SC-Regular" w:hAnsi="PingFang-SC-Regular" w:eastAsia="宋体" w:cs="Segoe UI"/>
                <w:color w:val="auto"/>
                <w:kern w:val="0"/>
                <w:sz w:val="23"/>
                <w:szCs w:val="23"/>
              </w:rPr>
              <w:t>支付合同款的30%人民币（大写）__________________元整（</w:t>
            </w:r>
            <w:r>
              <w:rPr>
                <w:rFonts w:ascii="Arial" w:hAnsi="Arial" w:eastAsia="宋体" w:cs="Arial"/>
                <w:color w:val="auto"/>
                <w:kern w:val="0"/>
                <w:sz w:val="23"/>
                <w:szCs w:val="23"/>
              </w:rPr>
              <w:t>¥</w:t>
            </w:r>
            <w:r>
              <w:rPr>
                <w:rFonts w:ascii="PingFang-SC-Regular" w:hAnsi="PingFang-SC-Regular" w:eastAsia="宋体" w:cs="Segoe UI"/>
                <w:color w:val="auto"/>
                <w:kern w:val="0"/>
                <w:sz w:val="23"/>
                <w:szCs w:val="23"/>
              </w:rPr>
              <w:t>__________元）作为开工预付款。</w:t>
            </w:r>
          </w:p>
          <w:p>
            <w:pPr>
              <w:widowControl/>
              <w:shd w:val="clear" w:color="auto" w:fill="FDFDFE"/>
              <w:jc w:val="left"/>
              <w:rPr>
                <w:rFonts w:hint="eastAsia" w:ascii="PingFang-SC-Regular" w:hAnsi="PingFang-SC-Regular" w:eastAsia="宋体" w:cs="Segoe UI"/>
                <w:color w:val="auto"/>
                <w:kern w:val="0"/>
                <w:sz w:val="23"/>
                <w:szCs w:val="23"/>
              </w:rPr>
            </w:pPr>
            <w:r>
              <w:rPr>
                <w:rFonts w:hint="eastAsia" w:ascii="PingFang-SC-Regular" w:hAnsi="PingFang-SC-Regular" w:eastAsia="宋体" w:cs="Segoe UI"/>
                <w:color w:val="auto"/>
                <w:kern w:val="0"/>
                <w:sz w:val="23"/>
                <w:szCs w:val="23"/>
              </w:rPr>
              <w:t>2、服务</w:t>
            </w:r>
            <w:r>
              <w:rPr>
                <w:rFonts w:ascii="PingFang-SC-Regular" w:hAnsi="PingFang-SC-Regular" w:eastAsia="宋体" w:cs="Segoe UI"/>
                <w:color w:val="auto"/>
                <w:kern w:val="0"/>
                <w:sz w:val="23"/>
                <w:szCs w:val="23"/>
              </w:rPr>
              <w:t>项目完成并验收合格后，甲方支付合同款的60%人民币（大写）__________________元整（</w:t>
            </w:r>
            <w:r>
              <w:rPr>
                <w:rFonts w:ascii="Arial" w:hAnsi="Arial" w:eastAsia="宋体" w:cs="Arial"/>
                <w:color w:val="auto"/>
                <w:kern w:val="0"/>
                <w:sz w:val="23"/>
                <w:szCs w:val="23"/>
              </w:rPr>
              <w:t>¥</w:t>
            </w:r>
            <w:r>
              <w:rPr>
                <w:rFonts w:ascii="PingFang-SC-Regular" w:hAnsi="PingFang-SC-Regular" w:eastAsia="宋体" w:cs="Segoe UI"/>
                <w:color w:val="auto"/>
                <w:kern w:val="0"/>
                <w:sz w:val="23"/>
                <w:szCs w:val="23"/>
              </w:rPr>
              <w:t>__________元）。</w:t>
            </w:r>
          </w:p>
          <w:p>
            <w:pPr>
              <w:pStyle w:val="3"/>
              <w:rPr>
                <w:rFonts w:ascii="宋体" w:hAnsi="宋体" w:eastAsia="宋体" w:cs="宋体"/>
                <w:kern w:val="1"/>
                <w:szCs w:val="21"/>
              </w:rPr>
            </w:pPr>
            <w:r>
              <w:rPr>
                <w:rFonts w:hint="eastAsia" w:ascii="PingFang-SC-Regular" w:hAnsi="PingFang-SC-Regular" w:eastAsia="宋体" w:cs="Segoe UI"/>
                <w:color w:val="05073B"/>
                <w:kern w:val="0"/>
                <w:sz w:val="23"/>
                <w:szCs w:val="23"/>
              </w:rPr>
              <w:t>3、</w:t>
            </w:r>
            <w:r>
              <w:rPr>
                <w:rFonts w:ascii="PingFang-SC-Regular" w:hAnsi="PingFang-SC-Regular" w:eastAsia="宋体" w:cs="Segoe UI"/>
                <w:color w:val="05073B"/>
                <w:kern w:val="0"/>
                <w:sz w:val="23"/>
                <w:szCs w:val="23"/>
              </w:rPr>
              <w:t>余款在</w:t>
            </w:r>
            <w:r>
              <w:rPr>
                <w:rFonts w:hint="eastAsia" w:ascii="PingFang-SC-Regular" w:hAnsi="PingFang-SC-Regular" w:eastAsia="宋体" w:cs="Segoe UI"/>
                <w:color w:val="05073B"/>
                <w:kern w:val="0"/>
                <w:sz w:val="23"/>
                <w:szCs w:val="23"/>
              </w:rPr>
              <w:t>质保服务期满</w:t>
            </w:r>
            <w:r>
              <w:rPr>
                <w:rFonts w:ascii="PingFang-SC-Regular" w:hAnsi="PingFang-SC-Regular" w:eastAsia="宋体" w:cs="Segoe UI"/>
                <w:color w:val="05073B"/>
                <w:kern w:val="0"/>
                <w:sz w:val="23"/>
                <w:szCs w:val="23"/>
              </w:rPr>
              <w:t>且无质量问题时付清。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9" w:hRule="atLeast"/>
          <w:jc w:val="center"/>
        </w:trPr>
        <w:tc>
          <w:tcPr>
            <w:tcW w:w="9257" w:type="dxa"/>
            <w:gridSpan w:val="11"/>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宋体"/>
                <w:kern w:val="0"/>
                <w:szCs w:val="21"/>
              </w:rPr>
            </w:pPr>
            <w:r>
              <w:rPr>
                <w:rFonts w:hint="eastAsia" w:ascii="宋体" w:hAnsi="宋体" w:cs="TimesNewRomanPSMT"/>
                <w:b/>
                <w:kern w:val="0"/>
                <w:szCs w:val="21"/>
              </w:rPr>
              <w:t>五、其他要求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08" w:hRule="atLeast"/>
          <w:jc w:val="center"/>
        </w:trPr>
        <w:tc>
          <w:tcPr>
            <w:tcW w:w="1813"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TimesNewRomanPSMT"/>
                <w:kern w:val="0"/>
                <w:szCs w:val="21"/>
              </w:rPr>
            </w:pPr>
          </w:p>
        </w:tc>
        <w:tc>
          <w:tcPr>
            <w:tcW w:w="7444" w:type="dxa"/>
            <w:gridSpan w:val="8"/>
            <w:tcBorders>
              <w:top w:val="single" w:color="auto" w:sz="4" w:space="0"/>
              <w:left w:val="single" w:color="auto" w:sz="4" w:space="0"/>
              <w:bottom w:val="single" w:color="auto" w:sz="4" w:space="0"/>
              <w:right w:val="single" w:color="auto" w:sz="4" w:space="0"/>
            </w:tcBorders>
            <w:vAlign w:val="center"/>
          </w:tcPr>
          <w:p>
            <w:pPr>
              <w:pStyle w:val="12"/>
              <w:spacing w:line="360" w:lineRule="auto"/>
              <w:rPr>
                <w:rFonts w:ascii="宋体" w:hAnsi="宋体" w:cs="宋体" w:eastAsiaTheme="minorEastAsia"/>
                <w:kern w:val="0"/>
                <w:sz w:val="21"/>
                <w:szCs w:val="21"/>
              </w:rPr>
            </w:pPr>
            <w:r>
              <w:rPr>
                <w:rFonts w:hint="eastAsia" w:asciiTheme="minorEastAsia" w:hAnsiTheme="minorEastAsia" w:eastAsiaTheme="minorEastAsia" w:cstheme="minorEastAsia"/>
                <w:sz w:val="21"/>
                <w:szCs w:val="21"/>
              </w:rPr>
              <w:t>★1.本项目按“附件1：采购需求及响应报价表内容”进行报价，报价必须含以下部分：①采用全包方式即合同金额，包括一切施工设备、人工费、各种保险费、税费等一切费用。投标人应充分考虑供货成本及参数要求再进行报价，如投标人低价恶意竞价、且成交后无法按要求提供服务或者所供服务及服务要求无法满足参数要求的，采购人将按虚假竞标处理，并保留因耽误采购人使用时间造成的损失进行赔偿的权利，追究投标人的法律责任，由此引发的一切后果</w:t>
            </w:r>
            <w:r>
              <w:rPr>
                <w:rFonts w:hint="eastAsia" w:ascii="宋体" w:hAnsi="宋体" w:cs="宋体" w:eastAsiaTheme="minorEastAsia"/>
                <w:kern w:val="0"/>
                <w:sz w:val="21"/>
                <w:szCs w:val="21"/>
              </w:rPr>
              <w:t>由投标人承担。</w:t>
            </w:r>
          </w:p>
          <w:p>
            <w:pPr>
              <w:pStyle w:val="12"/>
              <w:spacing w:line="360" w:lineRule="auto"/>
              <w:rPr>
                <w:rFonts w:ascii="宋体" w:hAnsi="宋体" w:cs="宋体" w:eastAsiaTheme="minorEastAsia"/>
                <w:kern w:val="0"/>
                <w:sz w:val="21"/>
                <w:szCs w:val="21"/>
              </w:rPr>
            </w:pPr>
            <w:r>
              <w:rPr>
                <w:rFonts w:hint="eastAsia" w:ascii="宋体" w:hAnsi="宋体" w:cs="宋体" w:eastAsiaTheme="minorEastAsia"/>
                <w:kern w:val="0"/>
                <w:sz w:val="21"/>
                <w:szCs w:val="21"/>
              </w:rPr>
              <w:t>★2.服务时间 ：合同签订之日起45天（准备期3天，施工期30天，调整期12天），含5年运营维护技术服务，2年质保期（从竣工验收之日算起2年）。</w:t>
            </w:r>
          </w:p>
          <w:p>
            <w:pPr>
              <w:pStyle w:val="12"/>
              <w:spacing w:line="360" w:lineRule="auto"/>
              <w:rPr>
                <w:rFonts w:ascii="宋体" w:hAnsi="宋体" w:cs="宋体" w:eastAsiaTheme="minorEastAsia"/>
                <w:kern w:val="0"/>
                <w:sz w:val="21"/>
                <w:szCs w:val="21"/>
              </w:rPr>
            </w:pPr>
            <w:r>
              <w:rPr>
                <w:rFonts w:hint="eastAsia" w:ascii="宋体" w:hAnsi="宋体" w:cs="宋体" w:eastAsiaTheme="minorEastAsia"/>
                <w:kern w:val="0"/>
                <w:sz w:val="21"/>
                <w:szCs w:val="21"/>
              </w:rPr>
              <w:t>★3.乙方应采取合理措施保障服务的安全性，自愿承担一切风险和责任。如因服务中因自身可能遭受的任何纠纷或损失应当由乙方承担全部责任。</w:t>
            </w:r>
          </w:p>
          <w:p>
            <w:pPr>
              <w:pStyle w:val="12"/>
              <w:spacing w:line="360" w:lineRule="auto"/>
              <w:rPr>
                <w:rFonts w:ascii="宋体" w:hAnsi="宋体" w:cs="宋体" w:eastAsiaTheme="minorEastAsia"/>
                <w:kern w:val="0"/>
                <w:sz w:val="21"/>
                <w:szCs w:val="21"/>
              </w:rPr>
            </w:pPr>
            <w:r>
              <w:rPr>
                <w:rFonts w:hint="eastAsia" w:ascii="宋体" w:hAnsi="宋体" w:cs="宋体" w:eastAsiaTheme="minorEastAsia"/>
                <w:kern w:val="0"/>
                <w:sz w:val="21"/>
                <w:szCs w:val="21"/>
              </w:rPr>
              <w:t>4.需提供投标人有效营业执照副本复印件</w:t>
            </w:r>
          </w:p>
          <w:p>
            <w:pPr>
              <w:pStyle w:val="12"/>
              <w:spacing w:line="360" w:lineRule="auto"/>
              <w:rPr>
                <w:rFonts w:ascii="宋体" w:hAnsi="宋体" w:cs="宋体" w:eastAsiaTheme="minorEastAsia"/>
                <w:kern w:val="0"/>
                <w:sz w:val="21"/>
                <w:szCs w:val="21"/>
              </w:rPr>
            </w:pPr>
            <w:r>
              <w:rPr>
                <w:rFonts w:hint="eastAsia" w:ascii="宋体" w:hAnsi="宋体" w:cs="宋体" w:eastAsiaTheme="minorEastAsia"/>
                <w:kern w:val="0"/>
                <w:sz w:val="21"/>
                <w:szCs w:val="21"/>
              </w:rPr>
              <w:t>5.需提供投标人法定代表人身份证复印件</w:t>
            </w:r>
          </w:p>
          <w:p>
            <w:pPr>
              <w:pStyle w:val="12"/>
              <w:spacing w:line="360" w:lineRule="auto"/>
              <w:rPr>
                <w:rFonts w:ascii="宋体" w:hAnsi="宋体" w:cs="宋体" w:eastAsiaTheme="minorEastAsia"/>
                <w:kern w:val="0"/>
                <w:sz w:val="21"/>
                <w:szCs w:val="21"/>
              </w:rPr>
            </w:pPr>
            <w:r>
              <w:rPr>
                <w:rFonts w:hint="eastAsia" w:ascii="宋体" w:hAnsi="宋体" w:cs="宋体" w:eastAsiaTheme="minorEastAsia"/>
                <w:kern w:val="0"/>
                <w:sz w:val="21"/>
                <w:szCs w:val="21"/>
              </w:rPr>
              <w:t>6.需提供投标人法定代表人授权委托书及授权代表身份证复印件</w:t>
            </w:r>
          </w:p>
          <w:p>
            <w:pPr>
              <w:pStyle w:val="12"/>
              <w:spacing w:line="360" w:lineRule="auto"/>
              <w:rPr>
                <w:rFonts w:ascii="宋体" w:hAnsi="宋体" w:cs="宋体" w:eastAsiaTheme="minorEastAsia"/>
                <w:kern w:val="0"/>
                <w:sz w:val="21"/>
                <w:szCs w:val="21"/>
              </w:rPr>
            </w:pPr>
            <w:r>
              <w:rPr>
                <w:rFonts w:hint="eastAsia" w:ascii="宋体" w:hAnsi="宋体" w:cs="宋体" w:eastAsiaTheme="minorEastAsia"/>
                <w:kern w:val="0"/>
                <w:sz w:val="21"/>
                <w:szCs w:val="21"/>
              </w:rPr>
              <w:t>★7.售后服务要求</w:t>
            </w:r>
          </w:p>
          <w:p>
            <w:pPr>
              <w:pStyle w:val="12"/>
              <w:spacing w:line="360" w:lineRule="auto"/>
              <w:rPr>
                <w:rFonts w:ascii="宋体" w:hAnsi="宋体" w:cs="宋体" w:eastAsiaTheme="minorEastAsia"/>
                <w:kern w:val="0"/>
                <w:sz w:val="21"/>
                <w:szCs w:val="21"/>
              </w:rPr>
            </w:pPr>
            <w:r>
              <w:rPr>
                <w:rFonts w:hint="eastAsia" w:ascii="宋体" w:hAnsi="宋体" w:cs="宋体" w:eastAsiaTheme="minorEastAsia"/>
                <w:kern w:val="0"/>
                <w:sz w:val="21"/>
                <w:szCs w:val="21"/>
              </w:rPr>
              <w:t>（1）在质保期内服务商接到甲方电话后应在4小时内做出响应，并且到服务项目地点解决相关问题。</w:t>
            </w:r>
          </w:p>
          <w:p>
            <w:pPr>
              <w:pStyle w:val="12"/>
              <w:spacing w:line="360" w:lineRule="auto"/>
              <w:rPr>
                <w:rFonts w:ascii="宋体" w:hAnsi="宋体" w:cs="宋体" w:eastAsiaTheme="minorEastAsia"/>
                <w:kern w:val="0"/>
                <w:sz w:val="21"/>
                <w:szCs w:val="21"/>
              </w:rPr>
            </w:pPr>
            <w:r>
              <w:rPr>
                <w:rFonts w:hint="eastAsia" w:ascii="宋体" w:hAnsi="宋体" w:cs="宋体" w:eastAsiaTheme="minorEastAsia"/>
                <w:kern w:val="0"/>
                <w:sz w:val="21"/>
                <w:szCs w:val="21"/>
              </w:rPr>
              <w:t>（2）在运营维护技术服务期间应积极响应为甲方提供技术服务。</w:t>
            </w:r>
          </w:p>
          <w:p>
            <w:pPr>
              <w:pStyle w:val="12"/>
              <w:spacing w:line="360" w:lineRule="auto"/>
              <w:rPr>
                <w:rFonts w:ascii="宋体" w:hAnsi="宋体" w:cs="宋体" w:eastAsiaTheme="minorEastAsia"/>
                <w:kern w:val="0"/>
                <w:sz w:val="21"/>
                <w:szCs w:val="21"/>
              </w:rPr>
            </w:pPr>
            <w:r>
              <w:rPr>
                <w:rFonts w:hint="eastAsia" w:ascii="宋体" w:hAnsi="宋体" w:cs="宋体" w:eastAsiaTheme="minorEastAsia"/>
                <w:kern w:val="0"/>
                <w:sz w:val="21"/>
                <w:szCs w:val="21"/>
              </w:rPr>
              <w:t>（3）在质保期内每月到服务项目地点养护不少于2天。</w:t>
            </w:r>
          </w:p>
          <w:p>
            <w:pPr>
              <w:pStyle w:val="12"/>
              <w:spacing w:line="360" w:lineRule="auto"/>
              <w:rPr>
                <w:rFonts w:ascii="宋体" w:hAnsi="宋体" w:eastAsiaTheme="minorEastAsia" w:cstheme="minorBidi"/>
                <w:sz w:val="21"/>
                <w:szCs w:val="24"/>
              </w:rPr>
            </w:pPr>
            <w:r>
              <w:rPr>
                <w:rFonts w:hint="eastAsia" w:ascii="宋体" w:hAnsi="宋体" w:cs="宋体" w:eastAsiaTheme="minorEastAsia"/>
                <w:color w:val="auto"/>
                <w:kern w:val="0"/>
                <w:sz w:val="21"/>
                <w:szCs w:val="21"/>
              </w:rPr>
              <w:t>（4）</w:t>
            </w:r>
            <w:r>
              <w:rPr>
                <w:rFonts w:hint="eastAsia" w:ascii="PingFang-SC-Regular" w:hAnsi="PingFang-SC-Regular" w:eastAsia="宋体" w:cs="Segoe UI"/>
                <w:color w:val="auto"/>
                <w:kern w:val="0"/>
                <w:sz w:val="23"/>
                <w:szCs w:val="23"/>
              </w:rPr>
              <w:t>服务</w:t>
            </w:r>
            <w:r>
              <w:rPr>
                <w:rFonts w:ascii="PingFang-SC-Regular" w:hAnsi="PingFang-SC-Regular" w:eastAsia="宋体" w:cs="Segoe UI"/>
                <w:color w:val="auto"/>
                <w:kern w:val="0"/>
                <w:sz w:val="23"/>
                <w:szCs w:val="23"/>
              </w:rPr>
              <w:t>项目</w:t>
            </w:r>
            <w:r>
              <w:rPr>
                <w:rFonts w:hint="eastAsia" w:ascii="PingFang-SC-Regular" w:hAnsi="PingFang-SC-Regular" w:cs="Segoe UI"/>
                <w:color w:val="auto"/>
                <w:kern w:val="0"/>
                <w:sz w:val="23"/>
                <w:szCs w:val="23"/>
                <w:lang w:eastAsia="zh-CN"/>
              </w:rPr>
              <w:t>申请竣工</w:t>
            </w:r>
            <w:r>
              <w:rPr>
                <w:rFonts w:ascii="PingFang-SC-Regular" w:hAnsi="PingFang-SC-Regular" w:eastAsia="宋体" w:cs="Segoe UI"/>
                <w:color w:val="auto"/>
                <w:kern w:val="0"/>
                <w:sz w:val="23"/>
                <w:szCs w:val="23"/>
              </w:rPr>
              <w:t>验收</w:t>
            </w:r>
            <w:r>
              <w:rPr>
                <w:rFonts w:hint="eastAsia" w:ascii="PingFang-SC-Regular" w:hAnsi="PingFang-SC-Regular" w:cs="Segoe UI"/>
                <w:color w:val="auto"/>
                <w:kern w:val="0"/>
                <w:sz w:val="23"/>
                <w:szCs w:val="23"/>
                <w:lang w:eastAsia="zh-CN"/>
              </w:rPr>
              <w:t>时</w:t>
            </w:r>
            <w:r>
              <w:rPr>
                <w:rFonts w:hint="eastAsia" w:ascii="宋体" w:hAnsi="宋体" w:cs="宋体" w:eastAsiaTheme="minorEastAsia"/>
                <w:color w:val="auto"/>
                <w:kern w:val="0"/>
                <w:sz w:val="21"/>
                <w:szCs w:val="21"/>
              </w:rPr>
              <w:t>应提供的水质检测报告</w:t>
            </w:r>
            <w:r>
              <w:rPr>
                <w:rFonts w:hint="eastAsia" w:ascii="宋体" w:hAnsi="宋体" w:cs="宋体" w:eastAsiaTheme="minorEastAsia"/>
                <w:color w:val="auto"/>
                <w:kern w:val="0"/>
                <w:sz w:val="21"/>
                <w:szCs w:val="21"/>
                <w:lang w:eastAsia="zh-CN"/>
              </w:rPr>
              <w:t>，</w:t>
            </w:r>
            <w:r>
              <w:rPr>
                <w:rFonts w:hint="eastAsia" w:ascii="宋体" w:hAnsi="宋体" w:cs="宋体" w:eastAsiaTheme="minorEastAsia"/>
                <w:color w:val="auto"/>
                <w:kern w:val="0"/>
                <w:sz w:val="21"/>
                <w:szCs w:val="21"/>
              </w:rPr>
              <w:t>质保期结束时应提供质保期最后一个月的水质检测报告，以及生态养护服务指标达到预期目标。</w:t>
            </w:r>
          </w:p>
        </w:tc>
      </w:tr>
    </w:tbl>
    <w:p>
      <w:pPr>
        <w:widowControl/>
        <w:spacing w:line="360" w:lineRule="auto"/>
        <w:rPr>
          <w:szCs w:val="21"/>
        </w:rPr>
      </w:pPr>
    </w:p>
    <w:p>
      <w:pPr>
        <w:widowControl/>
        <w:spacing w:line="360" w:lineRule="auto"/>
        <w:rPr>
          <w:szCs w:val="21"/>
        </w:rPr>
      </w:pPr>
    </w:p>
    <w:p>
      <w:pPr>
        <w:tabs>
          <w:tab w:val="left" w:pos="425"/>
        </w:tabs>
        <w:ind w:left="284" w:firstLine="560" w:firstLineChars="200"/>
        <w:rPr>
          <w:rFonts w:ascii="宋体" w:hAnsi="宋体"/>
          <w:sz w:val="28"/>
          <w:szCs w:val="28"/>
        </w:rPr>
      </w:pPr>
    </w:p>
    <w:p>
      <w:pPr>
        <w:tabs>
          <w:tab w:val="left" w:pos="425"/>
        </w:tabs>
        <w:ind w:left="284" w:firstLine="560" w:firstLineChars="200"/>
        <w:rPr>
          <w:rFonts w:ascii="宋体" w:hAnsi="宋体"/>
          <w:sz w:val="28"/>
          <w:szCs w:val="28"/>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PingFang-SC-Regular">
    <w:altName w:val="Cambria"/>
    <w:panose1 w:val="00000000000000000000"/>
    <w:charset w:val="00"/>
    <w:family w:val="roman"/>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TimesNewRomanPSMT">
    <w:altName w:val="Times New Roman"/>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jc w:val="left"/>
    </w:pPr>
    <w:r>
      <w:rPr>
        <w:rFonts w:hint="eastAsia"/>
        <w:b/>
        <w:color w:val="548DD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D09EA2"/>
    <w:multiLevelType w:val="singleLevel"/>
    <w:tmpl w:val="4ED09EA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djMGJkMjQ2YWU3YzI0ZWQ5MDIzYTA5NWI0MDhjY2EifQ=="/>
  </w:docVars>
  <w:rsids>
    <w:rsidRoot w:val="3D063DD2"/>
    <w:rsid w:val="000A6D05"/>
    <w:rsid w:val="000D31C6"/>
    <w:rsid w:val="00130315"/>
    <w:rsid w:val="00381635"/>
    <w:rsid w:val="00474502"/>
    <w:rsid w:val="008E53FB"/>
    <w:rsid w:val="009A7229"/>
    <w:rsid w:val="00ED3067"/>
    <w:rsid w:val="051E0804"/>
    <w:rsid w:val="123C264B"/>
    <w:rsid w:val="12EF5D02"/>
    <w:rsid w:val="14194E6F"/>
    <w:rsid w:val="14FC1BCB"/>
    <w:rsid w:val="17DF4EA8"/>
    <w:rsid w:val="19166537"/>
    <w:rsid w:val="2E925B10"/>
    <w:rsid w:val="2FE66E8F"/>
    <w:rsid w:val="31D519E3"/>
    <w:rsid w:val="34FF0C81"/>
    <w:rsid w:val="370E1966"/>
    <w:rsid w:val="379A2852"/>
    <w:rsid w:val="3D02040D"/>
    <w:rsid w:val="3D063DD2"/>
    <w:rsid w:val="43F476AB"/>
    <w:rsid w:val="4A64696E"/>
    <w:rsid w:val="5B3245D7"/>
    <w:rsid w:val="5F1E5A08"/>
    <w:rsid w:val="67A95333"/>
    <w:rsid w:val="6DE80955"/>
    <w:rsid w:val="770E56EC"/>
    <w:rsid w:val="774E5A93"/>
    <w:rsid w:val="78D26752"/>
    <w:rsid w:val="7997550A"/>
    <w:rsid w:val="7AA82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line="416" w:lineRule="auto"/>
      <w:outlineLvl w:val="1"/>
    </w:pPr>
    <w:rPr>
      <w:rFonts w:ascii="Cambria" w:hAnsi="Cambria"/>
      <w:b/>
      <w:bCs/>
      <w:kern w:val="0"/>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alloon Text"/>
    <w:basedOn w:val="1"/>
    <w:link w:val="16"/>
    <w:qFormat/>
    <w:uiPriority w:val="0"/>
    <w:rPr>
      <w:sz w:val="18"/>
      <w:szCs w:val="18"/>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Title"/>
    <w:basedOn w:val="1"/>
    <w:qFormat/>
    <w:uiPriority w:val="0"/>
    <w:pPr>
      <w:jc w:val="center"/>
      <w:outlineLvl w:val="0"/>
    </w:pPr>
    <w:rPr>
      <w:rFonts w:ascii="Arial" w:hAnsi="Arial"/>
      <w:b/>
      <w:sz w:val="32"/>
    </w:rPr>
  </w:style>
  <w:style w:type="table" w:styleId="9">
    <w:name w:val="Table Grid"/>
    <w:basedOn w:val="8"/>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qFormat/>
    <w:uiPriority w:val="0"/>
  </w:style>
  <w:style w:type="paragraph" w:customStyle="1" w:styleId="12">
    <w:name w:val="Char Char Char Char Char Char Char1 Char"/>
    <w:basedOn w:val="1"/>
    <w:qFormat/>
    <w:uiPriority w:val="0"/>
    <w:rPr>
      <w:rFonts w:ascii="Tahoma" w:hAnsi="Tahoma" w:eastAsia="宋体" w:cs="Times New Roman"/>
      <w:sz w:val="24"/>
      <w:szCs w:val="20"/>
    </w:rPr>
  </w:style>
  <w:style w:type="character" w:customStyle="1" w:styleId="13">
    <w:name w:val="页眉 Char"/>
    <w:basedOn w:val="10"/>
    <w:link w:val="6"/>
    <w:qFormat/>
    <w:uiPriority w:val="0"/>
    <w:rPr>
      <w:kern w:val="2"/>
      <w:sz w:val="18"/>
      <w:szCs w:val="18"/>
    </w:rPr>
  </w:style>
  <w:style w:type="character" w:customStyle="1" w:styleId="14">
    <w:name w:val="页脚 Char"/>
    <w:basedOn w:val="10"/>
    <w:link w:val="5"/>
    <w:qFormat/>
    <w:uiPriority w:val="0"/>
    <w:rPr>
      <w:kern w:val="2"/>
      <w:sz w:val="18"/>
      <w:szCs w:val="18"/>
    </w:rPr>
  </w:style>
  <w:style w:type="paragraph" w:styleId="15">
    <w:name w:val="List Paragraph"/>
    <w:basedOn w:val="1"/>
    <w:qFormat/>
    <w:uiPriority w:val="99"/>
    <w:pPr>
      <w:widowControl/>
      <w:ind w:firstLine="420" w:firstLineChars="200"/>
      <w:jc w:val="left"/>
    </w:pPr>
    <w:rPr>
      <w:rFonts w:ascii="宋体" w:hAnsi="宋体" w:cs="宋体"/>
      <w:kern w:val="0"/>
      <w:sz w:val="24"/>
    </w:rPr>
  </w:style>
  <w:style w:type="character" w:customStyle="1" w:styleId="16">
    <w:name w:val="批注框文本 Char"/>
    <w:basedOn w:val="10"/>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1904</Words>
  <Characters>2075</Characters>
  <Lines>15</Lines>
  <Paragraphs>4</Paragraphs>
  <TotalTime>20</TotalTime>
  <ScaleCrop>false</ScaleCrop>
  <LinksUpToDate>false</LinksUpToDate>
  <CharactersWithSpaces>2102</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2025-05-14T06:44:00Z</dcterms:created>
  <dc:creator>DELL</dc:creator>
  <cp:lastModifiedBy>Administrator</cp:lastModifiedBy>
  <cp:lastPrinted>2025-05-13T08:26:00Z</cp:lastPrinted>
  <dcterms:modified xsi:type="dcterms:W3CDTF">2025-05-15T07:08:35Z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D082F4AB4D0046DAA83DB2192B7EB556_11</vt:lpwstr>
  </property>
  <property fmtid="{D5CDD505-2E9C-101B-9397-08002B2CF9AE}" pid="4" name="KSOTemplateDocerSaveRecord">
    <vt:lpwstr>eyJoZGlkIjoiZDA2Y2Y1N2RmMTIyY2ZkMzA4ODE4ZTRkZDM5ZTZmMTMifQ==</vt:lpwstr>
  </property>
</Properties>
</file>