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3687">
      <w:pPr>
        <w:spacing w:line="400" w:lineRule="exact"/>
        <w:rPr>
          <w:rFonts w:ascii="宋体" w:hAnsi="宋体"/>
          <w:b/>
          <w:sz w:val="28"/>
          <w:szCs w:val="28"/>
        </w:rPr>
      </w:pPr>
      <w:r>
        <w:rPr>
          <w:rFonts w:hint="eastAsia" w:ascii="宋体" w:hAnsi="宋体"/>
          <w:b/>
          <w:sz w:val="28"/>
          <w:szCs w:val="28"/>
        </w:rPr>
        <w:t>附件3</w:t>
      </w:r>
    </w:p>
    <w:p w14:paraId="45393688">
      <w:pPr>
        <w:spacing w:line="400" w:lineRule="exact"/>
        <w:jc w:val="center"/>
        <w:rPr>
          <w:rFonts w:ascii="宋体" w:hAnsi="宋体"/>
          <w:b/>
          <w:sz w:val="28"/>
          <w:szCs w:val="28"/>
        </w:rPr>
      </w:pPr>
      <w:r>
        <w:rPr>
          <w:rFonts w:hint="eastAsia" w:ascii="宋体" w:hAnsi="宋体"/>
          <w:b/>
          <w:sz w:val="28"/>
          <w:szCs w:val="28"/>
          <w:lang w:eastAsia="zh-CN"/>
        </w:rPr>
        <w:t>服务</w:t>
      </w: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45393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689">
            <w:pPr>
              <w:spacing w:line="360" w:lineRule="auto"/>
              <w:jc w:val="left"/>
              <w:rPr>
                <w:rFonts w:ascii="宋体" w:hAnsi="宋体"/>
                <w:b/>
                <w:szCs w:val="21"/>
              </w:rPr>
            </w:pPr>
            <w:r>
              <w:rPr>
                <w:rFonts w:hint="eastAsia" w:ascii="宋体" w:hAnsi="宋体"/>
                <w:b/>
                <w:szCs w:val="21"/>
              </w:rPr>
              <w:t>一、物品参数需求</w:t>
            </w:r>
          </w:p>
        </w:tc>
      </w:tr>
      <w:tr w14:paraId="45393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39368B">
            <w:pPr>
              <w:spacing w:line="360" w:lineRule="auto"/>
              <w:jc w:val="center"/>
              <w:rPr>
                <w:rFonts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4539368C">
            <w:pPr>
              <w:spacing w:line="360" w:lineRule="auto"/>
              <w:jc w:val="center"/>
              <w:rPr>
                <w:rFonts w:ascii="宋体" w:hAnsi="宋体"/>
                <w:b/>
                <w:szCs w:val="21"/>
              </w:rPr>
            </w:pPr>
            <w:r>
              <w:rPr>
                <w:rFonts w:hint="eastAsia" w:ascii="宋体" w:hAnsi="宋体"/>
                <w:b/>
                <w:szCs w:val="21"/>
              </w:rPr>
              <w:t>采购</w:t>
            </w:r>
            <w:r>
              <w:rPr>
                <w:rFonts w:hint="eastAsia" w:ascii="宋体" w:hAnsi="宋体"/>
                <w:b/>
                <w:szCs w:val="21"/>
                <w:lang w:eastAsia="zh-CN"/>
              </w:rPr>
              <w:t>服务</w:t>
            </w:r>
            <w:r>
              <w:rPr>
                <w:rFonts w:hint="eastAsia" w:ascii="宋体" w:hAnsi="宋体"/>
                <w:b/>
                <w:szCs w:val="21"/>
              </w:rPr>
              <w:t>名称</w:t>
            </w:r>
          </w:p>
        </w:tc>
        <w:tc>
          <w:tcPr>
            <w:tcW w:w="1278" w:type="dxa"/>
            <w:tcBorders>
              <w:top w:val="single" w:color="auto" w:sz="4" w:space="0"/>
              <w:left w:val="single" w:color="auto" w:sz="4" w:space="0"/>
              <w:bottom w:val="single" w:color="auto" w:sz="4" w:space="0"/>
              <w:right w:val="single" w:color="auto" w:sz="4" w:space="0"/>
            </w:tcBorders>
            <w:vAlign w:val="center"/>
          </w:tcPr>
          <w:p w14:paraId="2A67E2BB">
            <w:pPr>
              <w:snapToGrid w:val="0"/>
              <w:jc w:val="center"/>
              <w:rPr>
                <w:rFonts w:ascii="宋体" w:hAnsi="宋体"/>
                <w:b/>
                <w:szCs w:val="21"/>
              </w:rPr>
            </w:pPr>
            <w:r>
              <w:rPr>
                <w:rFonts w:hint="eastAsia" w:ascii="宋体" w:hAnsi="宋体"/>
                <w:b/>
                <w:szCs w:val="21"/>
              </w:rPr>
              <w:t>参考</w:t>
            </w:r>
          </w:p>
          <w:p w14:paraId="4539368D">
            <w:pPr>
              <w:snapToGrid w:val="0"/>
              <w:jc w:val="both"/>
              <w:rPr>
                <w:rFonts w:ascii="宋体" w:hAnsi="宋体"/>
                <w:b/>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4539368E">
            <w:pPr>
              <w:snapToGrid w:val="0"/>
              <w:jc w:val="center"/>
              <w:rPr>
                <w:rFonts w:ascii="宋体" w:hAnsi="宋体"/>
                <w:b/>
                <w:szCs w:val="21"/>
              </w:rPr>
            </w:pPr>
            <w:r>
              <w:rPr>
                <w:rFonts w:hint="eastAsia" w:ascii="宋体" w:hAnsi="宋体"/>
                <w:b/>
                <w:szCs w:val="21"/>
              </w:rPr>
              <w:t>数量</w:t>
            </w:r>
          </w:p>
          <w:p w14:paraId="4539368F">
            <w:pPr>
              <w:snapToGrid w:val="0"/>
              <w:jc w:val="center"/>
              <w:rPr>
                <w:rFonts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45393690">
            <w:pPr>
              <w:spacing w:line="360" w:lineRule="auto"/>
              <w:jc w:val="center"/>
              <w:rPr>
                <w:rFonts w:ascii="宋体" w:hAnsi="宋体"/>
                <w:b/>
                <w:szCs w:val="21"/>
              </w:rPr>
            </w:pPr>
            <w:r>
              <w:rPr>
                <w:rFonts w:hint="eastAsia" w:ascii="宋体" w:hAnsi="宋体"/>
                <w:b/>
                <w:szCs w:val="21"/>
              </w:rPr>
              <w:t>项目要求及</w:t>
            </w:r>
            <w:r>
              <w:rPr>
                <w:rFonts w:hint="eastAsia" w:ascii="宋体" w:hAnsi="宋体"/>
                <w:b/>
                <w:szCs w:val="21"/>
                <w:lang w:eastAsia="zh-CN"/>
              </w:rPr>
              <w:t>服务</w:t>
            </w:r>
            <w:r>
              <w:rPr>
                <w:rFonts w:hint="eastAsia" w:ascii="宋体" w:hAnsi="宋体"/>
                <w:b/>
                <w:szCs w:val="21"/>
              </w:rPr>
              <w:t>参数需求</w:t>
            </w:r>
          </w:p>
        </w:tc>
      </w:tr>
      <w:tr w14:paraId="45393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393692">
            <w:pPr>
              <w:spacing w:line="360" w:lineRule="auto"/>
              <w:jc w:val="center"/>
              <w:rPr>
                <w:rFonts w:ascii="宋体" w:hAnsi="宋体"/>
                <w:szCs w:val="21"/>
              </w:rPr>
            </w:pPr>
            <w:r>
              <w:rPr>
                <w:rFonts w:hint="eastAsia" w:ascii="宋体" w:hAnsi="宋体"/>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393693">
            <w:pPr>
              <w:autoSpaceDE w:val="0"/>
              <w:autoSpaceDN w:val="0"/>
              <w:adjustRightInd w:val="0"/>
              <w:spacing w:line="360" w:lineRule="auto"/>
              <w:jc w:val="both"/>
              <w:rPr>
                <w:rFonts w:hint="eastAsia" w:ascii="宋体" w:hAnsi="宋体" w:cs="宋体" w:eastAsiaTheme="minorEastAsia"/>
                <w:kern w:val="0"/>
                <w:sz w:val="21"/>
                <w:szCs w:val="21"/>
                <w:lang w:eastAsia="zh-CN"/>
              </w:rPr>
            </w:pPr>
            <w:r>
              <w:rPr>
                <w:rFonts w:hint="eastAsia" w:ascii="宋体" w:hAnsi="宋体" w:cs="宋体"/>
                <w:kern w:val="0"/>
                <w:sz w:val="21"/>
                <w:szCs w:val="21"/>
                <w:lang w:val="en-US" w:eastAsia="zh-CN"/>
              </w:rPr>
              <w:t>2025年中医药大学</w:t>
            </w:r>
            <w:r>
              <w:rPr>
                <w:rFonts w:hint="eastAsia" w:ascii="宋体" w:hAnsi="宋体" w:cs="宋体"/>
                <w:kern w:val="0"/>
                <w:sz w:val="21"/>
                <w:szCs w:val="21"/>
                <w:lang w:eastAsia="zh-CN"/>
              </w:rPr>
              <w:t>医疗废物委托处置服务</w:t>
            </w:r>
          </w:p>
        </w:tc>
        <w:tc>
          <w:tcPr>
            <w:tcW w:w="1278" w:type="dxa"/>
            <w:tcBorders>
              <w:top w:val="nil"/>
              <w:left w:val="single" w:color="auto" w:sz="4" w:space="0"/>
              <w:bottom w:val="single" w:color="auto" w:sz="4" w:space="0"/>
              <w:right w:val="single" w:color="auto" w:sz="4" w:space="0"/>
            </w:tcBorders>
            <w:shd w:val="clear" w:color="auto" w:fill="auto"/>
            <w:vAlign w:val="center"/>
          </w:tcPr>
          <w:p w14:paraId="45393694">
            <w:pPr>
              <w:jc w:val="center"/>
              <w:rPr>
                <w:rFonts w:hint="eastAsia" w:ascii="宋体" w:hAnsi="宋体" w:cs="宋体" w:eastAsiaTheme="minorEastAsia"/>
                <w:kern w:val="0"/>
                <w:sz w:val="21"/>
                <w:szCs w:val="21"/>
                <w:lang w:eastAsia="zh-CN"/>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5393695">
            <w:pPr>
              <w:spacing w:line="360" w:lineRule="auto"/>
              <w:jc w:val="center"/>
              <w:rPr>
                <w:rFonts w:ascii="宋体" w:hAnsi="宋体" w:cs="宋体"/>
                <w:kern w:val="0"/>
                <w:sz w:val="21"/>
                <w:szCs w:val="21"/>
              </w:rPr>
            </w:pPr>
          </w:p>
        </w:tc>
        <w:tc>
          <w:tcPr>
            <w:tcW w:w="4053" w:type="dxa"/>
            <w:tcBorders>
              <w:top w:val="nil"/>
              <w:left w:val="nil"/>
              <w:bottom w:val="single" w:color="auto" w:sz="4" w:space="0"/>
              <w:right w:val="single" w:color="auto" w:sz="4" w:space="0"/>
            </w:tcBorders>
            <w:shd w:val="clear" w:color="auto" w:fill="auto"/>
            <w:vAlign w:val="center"/>
          </w:tcPr>
          <w:p w14:paraId="453936AE">
            <w:pPr>
              <w:pStyle w:val="2"/>
              <w:rPr>
                <w:rFonts w:hint="default" w:eastAsia="宋体"/>
                <w:sz w:val="21"/>
                <w:szCs w:val="21"/>
                <w:lang w:val="en-US" w:eastAsia="zh-CN" w:bidi="ar"/>
              </w:rPr>
            </w:pPr>
            <w:r>
              <w:rPr>
                <w:rFonts w:hint="eastAsia"/>
                <w:sz w:val="21"/>
                <w:szCs w:val="21"/>
                <w:lang w:eastAsia="zh-CN" w:bidi="ar"/>
              </w:rPr>
              <w:t>项目处置主要分仙葫校区与明秀校区两个校区的医疗废物产出，大概约年产</w:t>
            </w:r>
            <w:r>
              <w:rPr>
                <w:rFonts w:hint="eastAsia"/>
                <w:sz w:val="21"/>
                <w:szCs w:val="21"/>
                <w:lang w:val="en-US" w:eastAsia="zh-CN" w:bidi="ar"/>
              </w:rPr>
              <w:t>19吨。</w:t>
            </w:r>
          </w:p>
        </w:tc>
      </w:tr>
      <w:tr w14:paraId="45393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741">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14:paraId="45393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3">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45393744">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：合同签订之日起</w:t>
            </w:r>
            <w:r>
              <w:rPr>
                <w:rFonts w:hint="eastAsia" w:ascii="宋体" w:hAnsi="宋体" w:cs="宋体"/>
                <w:kern w:val="0"/>
                <w:szCs w:val="21"/>
                <w:lang w:val="en-US" w:eastAsia="zh-CN"/>
              </w:rPr>
              <w:t>7</w:t>
            </w:r>
            <w:r>
              <w:rPr>
                <w:rFonts w:hint="eastAsia" w:ascii="宋体" w:hAnsi="宋体" w:cs="宋体"/>
                <w:kern w:val="0"/>
                <w:szCs w:val="21"/>
              </w:rPr>
              <w:t>个工作日内。</w:t>
            </w:r>
          </w:p>
          <w:p w14:paraId="4539374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2、服务地点：广西中医药大学仙葫校区、明秀校区。</w:t>
            </w:r>
          </w:p>
        </w:tc>
      </w:tr>
      <w:tr w14:paraId="45393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45393748">
            <w:pPr>
              <w:spacing w:line="400" w:lineRule="exact"/>
              <w:ind w:firstLine="574"/>
              <w:rPr>
                <w:rFonts w:ascii="宋体" w:hAnsi="宋体" w:eastAsia="宋体" w:cs="宋体"/>
                <w:kern w:val="1"/>
                <w:szCs w:val="21"/>
              </w:rPr>
            </w:pPr>
            <w:r>
              <w:rPr>
                <w:rFonts w:hint="eastAsia" w:ascii="宋体" w:hAnsi="宋体" w:eastAsia="宋体" w:cs="宋体"/>
                <w:kern w:val="1"/>
                <w:szCs w:val="21"/>
              </w:rPr>
              <w:t>合同约定时间完成任务，采购人在</w:t>
            </w:r>
            <w:r>
              <w:rPr>
                <w:rFonts w:hint="eastAsia" w:ascii="宋体" w:hAnsi="宋体" w:eastAsia="宋体" w:cs="宋体"/>
                <w:kern w:val="1"/>
                <w:szCs w:val="21"/>
                <w:lang w:eastAsia="zh-CN"/>
              </w:rPr>
              <w:t>完成上月服务后</w:t>
            </w:r>
            <w:r>
              <w:rPr>
                <w:rFonts w:hint="eastAsia" w:ascii="宋体" w:hAnsi="宋体" w:eastAsia="宋体" w:cs="宋体"/>
                <w:kern w:val="1"/>
                <w:szCs w:val="21"/>
                <w:lang w:val="en-US" w:eastAsia="zh-CN"/>
              </w:rPr>
              <w:t>7</w:t>
            </w:r>
            <w:r>
              <w:rPr>
                <w:rFonts w:hint="eastAsia" w:ascii="宋体" w:hAnsi="宋体" w:eastAsia="宋体" w:cs="宋体"/>
                <w:kern w:val="1"/>
                <w:szCs w:val="21"/>
              </w:rPr>
              <w:t>个工</w:t>
            </w:r>
            <w:bookmarkStart w:id="0" w:name="_GoBack"/>
            <w:bookmarkEnd w:id="0"/>
            <w:r>
              <w:rPr>
                <w:rFonts w:hint="eastAsia" w:ascii="宋体" w:hAnsi="宋体" w:eastAsia="宋体" w:cs="宋体"/>
                <w:kern w:val="1"/>
                <w:szCs w:val="21"/>
              </w:rPr>
              <w:t>作日内凭</w:t>
            </w:r>
            <w:r>
              <w:rPr>
                <w:rFonts w:hint="eastAsia" w:ascii="宋体" w:hAnsi="宋体" w:eastAsia="宋体" w:cs="宋体"/>
                <w:kern w:val="1"/>
                <w:szCs w:val="21"/>
                <w:lang w:eastAsia="zh-CN"/>
              </w:rPr>
              <w:t>服务</w:t>
            </w:r>
            <w:r>
              <w:rPr>
                <w:rFonts w:hint="eastAsia" w:ascii="宋体" w:hAnsi="宋体" w:eastAsia="宋体" w:cs="宋体"/>
                <w:kern w:val="1"/>
                <w:szCs w:val="21"/>
              </w:rPr>
              <w:t>商开具的</w:t>
            </w:r>
            <w:r>
              <w:rPr>
                <w:rFonts w:hint="eastAsia" w:ascii="宋体" w:hAnsi="宋体" w:eastAsia="宋体" w:cs="宋体"/>
                <w:kern w:val="1"/>
                <w:szCs w:val="21"/>
                <w:lang w:eastAsia="zh-CN"/>
              </w:rPr>
              <w:t>上月</w:t>
            </w:r>
            <w:r>
              <w:rPr>
                <w:rFonts w:hint="eastAsia" w:ascii="宋体" w:hAnsi="宋体" w:eastAsia="宋体" w:cs="宋体"/>
                <w:kern w:val="1"/>
                <w:szCs w:val="21"/>
              </w:rPr>
              <w:t>发票</w:t>
            </w:r>
            <w:r>
              <w:rPr>
                <w:rFonts w:hint="eastAsia" w:ascii="宋体" w:hAnsi="宋体" w:eastAsia="宋体" w:cs="宋体"/>
                <w:kern w:val="1"/>
                <w:szCs w:val="21"/>
                <w:lang w:eastAsia="zh-CN"/>
              </w:rPr>
              <w:t>以及相应条款凭证</w:t>
            </w:r>
            <w:r>
              <w:rPr>
                <w:rFonts w:hint="eastAsia" w:ascii="宋体" w:hAnsi="宋体" w:eastAsia="宋体" w:cs="宋体"/>
                <w:kern w:val="1"/>
                <w:szCs w:val="21"/>
              </w:rPr>
              <w:t>，</w:t>
            </w:r>
            <w:r>
              <w:rPr>
                <w:rFonts w:hint="eastAsia" w:ascii="宋体" w:hAnsi="宋体" w:eastAsia="宋体" w:cs="宋体"/>
                <w:kern w:val="1"/>
                <w:szCs w:val="21"/>
                <w:lang w:eastAsia="zh-CN"/>
              </w:rPr>
              <w:t>支付</w:t>
            </w:r>
            <w:r>
              <w:rPr>
                <w:rFonts w:hint="eastAsia" w:ascii="宋体" w:hAnsi="宋体" w:eastAsia="宋体" w:cs="宋体"/>
                <w:kern w:val="1"/>
                <w:szCs w:val="21"/>
              </w:rPr>
              <w:t>服务费用。</w:t>
            </w:r>
          </w:p>
        </w:tc>
      </w:tr>
      <w:tr w14:paraId="45393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74A">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14:paraId="4539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C">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89D93B8">
            <w:pPr>
              <w:pStyle w:val="2"/>
              <w:keepNext w:val="0"/>
              <w:keepLines w:val="0"/>
              <w:widowControl/>
              <w:suppressLineNumbers w:val="0"/>
              <w:shd w:val="clear" w:fill="FFFFFF"/>
              <w:spacing w:before="0" w:beforeAutospacing="0" w:after="30" w:afterAutospacing="0" w:line="450" w:lineRule="atLeast"/>
              <w:ind w:left="0" w:right="0" w:firstLine="0"/>
              <w:rPr>
                <w:rFonts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1. 服务内容和要求</w:t>
            </w:r>
          </w:p>
          <w:p w14:paraId="015D7968">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医疗废物的采购需求首先明确了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2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683CF2B1">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2. 转运和车辆要求</w:t>
            </w:r>
          </w:p>
          <w:p w14:paraId="14694BE4">
            <w:pPr>
              <w:pStyle w:val="9"/>
              <w:keepNext w:val="0"/>
              <w:keepLines w:val="0"/>
              <w:widowControl/>
              <w:suppressLineNumbers w:val="0"/>
              <w:shd w:val="clear" w:fill="FFFFFF"/>
              <w:spacing w:before="0" w:beforeAutospacing="0" w:after="180" w:afterAutospacing="0"/>
              <w:ind w:left="0" w:right="0" w:firstLine="0"/>
              <w:rPr>
                <w:rFonts w:hint="eastAsia" w:ascii="Segoe UI" w:hAnsi="Segoe UI" w:eastAsia="宋体" w:cs="Segoe UI"/>
                <w:i w:val="0"/>
                <w:iCs w:val="0"/>
                <w:caps w:val="0"/>
                <w:spacing w:val="0"/>
                <w:sz w:val="24"/>
                <w:szCs w:val="24"/>
                <w:lang w:eastAsia="zh-CN"/>
              </w:rPr>
            </w:pPr>
            <w:r>
              <w:rPr>
                <w:rFonts w:hint="default" w:ascii="Segoe UI" w:hAnsi="Segoe UI" w:eastAsia="Segoe UI" w:cs="Segoe UI"/>
                <w:i w:val="0"/>
                <w:iCs w:val="0"/>
                <w:caps w:val="0"/>
                <w:spacing w:val="0"/>
                <w:sz w:val="24"/>
                <w:szCs w:val="24"/>
                <w:shd w:val="clear" w:fill="FFFFFF"/>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w:t>
            </w:r>
            <w:r>
              <w:rPr>
                <w:rFonts w:hint="eastAsia" w:ascii="Segoe UI" w:hAnsi="Segoe UI" w:eastAsia="宋体" w:cs="Segoe UI"/>
                <w:i w:val="0"/>
                <w:iCs w:val="0"/>
                <w:caps w:val="0"/>
                <w:spacing w:val="0"/>
                <w:sz w:val="24"/>
                <w:szCs w:val="24"/>
                <w:shd w:val="clear" w:fill="FFFFFF"/>
                <w:lang w:eastAsia="zh-CN"/>
              </w:rPr>
              <w:t>。</w:t>
            </w:r>
          </w:p>
          <w:p w14:paraId="36C3CD23">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3. 运营服务要求</w:t>
            </w:r>
          </w:p>
          <w:p w14:paraId="1CB7739B">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2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242220CA">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4. 管理和技术要求</w:t>
            </w:r>
          </w:p>
          <w:p w14:paraId="5E817160">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供应商需要建立一套医疗机构分类投放、分类收集、分类贮存、分类交接、分类转运的医疗废弃物管理系统，充分利用电子标签、二维码等信息化技术手段，确保医疗机构废弃物应分尽分和可追溯。供应商还要利用信息化手段提供医废转运信息和数据，及时反馈业务进展情况，保证转移联单内容和服务过程中信息的准确性和真实性</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2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3A436D37">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5. 法律和资质要求</w:t>
            </w:r>
          </w:p>
          <w:p w14:paraId="45393750">
            <w:pPr>
              <w:pStyle w:val="9"/>
              <w:keepNext w:val="0"/>
              <w:keepLines w:val="0"/>
              <w:widowControl/>
              <w:suppressLineNumbers w:val="0"/>
              <w:shd w:val="clear" w:fill="FFFFFF"/>
              <w:spacing w:before="0" w:beforeAutospacing="0" w:after="180" w:afterAutospacing="0"/>
              <w:ind w:left="0" w:right="0" w:firstLine="0"/>
              <w:rPr>
                <w:rFonts w:ascii="宋体" w:hAnsi="宋体"/>
                <w:b/>
                <w:bCs/>
              </w:rPr>
            </w:pPr>
            <w:r>
              <w:rPr>
                <w:rFonts w:hint="default" w:ascii="Segoe UI" w:hAnsi="Segoe UI" w:eastAsia="Segoe UI" w:cs="Segoe UI"/>
                <w:i w:val="0"/>
                <w:iCs w:val="0"/>
                <w:caps w:val="0"/>
                <w:spacing w:val="0"/>
                <w:sz w:val="24"/>
                <w:szCs w:val="24"/>
                <w:shd w:val="clear" w:fill="FFFFFF"/>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"https://zb.zhaobiao.cn/bidding_v_128082863.html"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20"/>
                <w:rFonts w:hint="default" w:ascii="Segoe UI" w:hAnsi="Segoe UI" w:eastAsia="Segoe UI" w:cs="Segoe UI"/>
                <w:b/>
                <w:bCs/>
                <w:i w:val="0"/>
                <w:iCs w:val="0"/>
                <w:caps w:val="0"/>
                <w:color w:val="1677FF"/>
                <w:spacing w:val="0"/>
                <w:sz w:val="18"/>
                <w:szCs w:val="18"/>
                <w:u w:val="none"/>
                <w:shd w:val="clear" w:fill="FFFFFF"/>
              </w:rPr>
              <w:t>2</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tc>
      </w:tr>
    </w:tbl>
    <w:p w14:paraId="45393752">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393753">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4F4893"/>
    <w:rsid w:val="0163247B"/>
    <w:rsid w:val="05E90218"/>
    <w:rsid w:val="06C929F2"/>
    <w:rsid w:val="09287D76"/>
    <w:rsid w:val="09E37FB3"/>
    <w:rsid w:val="0A0F5BB5"/>
    <w:rsid w:val="0B8E1704"/>
    <w:rsid w:val="0C93343B"/>
    <w:rsid w:val="0CC46135"/>
    <w:rsid w:val="0E6F05D1"/>
    <w:rsid w:val="0F074FAA"/>
    <w:rsid w:val="0F242EBB"/>
    <w:rsid w:val="10D0497D"/>
    <w:rsid w:val="12F31522"/>
    <w:rsid w:val="15333719"/>
    <w:rsid w:val="157A4E35"/>
    <w:rsid w:val="15A6480D"/>
    <w:rsid w:val="1608351E"/>
    <w:rsid w:val="1BAA04CD"/>
    <w:rsid w:val="1C3E4E69"/>
    <w:rsid w:val="1DF613D3"/>
    <w:rsid w:val="1EFD54D7"/>
    <w:rsid w:val="20A0716E"/>
    <w:rsid w:val="21E9568B"/>
    <w:rsid w:val="22525B39"/>
    <w:rsid w:val="22833F45"/>
    <w:rsid w:val="24217571"/>
    <w:rsid w:val="242F04AA"/>
    <w:rsid w:val="24F5112A"/>
    <w:rsid w:val="258B55EA"/>
    <w:rsid w:val="26A022EB"/>
    <w:rsid w:val="278E005D"/>
    <w:rsid w:val="288B42E2"/>
    <w:rsid w:val="2B597F39"/>
    <w:rsid w:val="2C2422F5"/>
    <w:rsid w:val="2FEC2936"/>
    <w:rsid w:val="2FFB5E74"/>
    <w:rsid w:val="30175C86"/>
    <w:rsid w:val="3038292B"/>
    <w:rsid w:val="32F71A53"/>
    <w:rsid w:val="33F53549"/>
    <w:rsid w:val="36525CB0"/>
    <w:rsid w:val="38290730"/>
    <w:rsid w:val="3A1514CF"/>
    <w:rsid w:val="3BDC4EF4"/>
    <w:rsid w:val="3E8F7AA2"/>
    <w:rsid w:val="40BC08F6"/>
    <w:rsid w:val="41842ED7"/>
    <w:rsid w:val="41E80EEB"/>
    <w:rsid w:val="422E5823"/>
    <w:rsid w:val="44E060C2"/>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8E50BA2"/>
    <w:rsid w:val="598B674F"/>
    <w:rsid w:val="59F111B9"/>
    <w:rsid w:val="5A025174"/>
    <w:rsid w:val="5B24736C"/>
    <w:rsid w:val="5B8E2CD1"/>
    <w:rsid w:val="5D5E44AA"/>
    <w:rsid w:val="5E8172C0"/>
    <w:rsid w:val="60892E13"/>
    <w:rsid w:val="628F7431"/>
    <w:rsid w:val="648F5856"/>
    <w:rsid w:val="67D866A0"/>
    <w:rsid w:val="6C28527F"/>
    <w:rsid w:val="6D6123F1"/>
    <w:rsid w:val="6E27654C"/>
    <w:rsid w:val="6F2F0361"/>
    <w:rsid w:val="6F71097A"/>
    <w:rsid w:val="6F9A63EE"/>
    <w:rsid w:val="6FC46BA4"/>
    <w:rsid w:val="71193077"/>
    <w:rsid w:val="72CB65F3"/>
    <w:rsid w:val="7357203A"/>
    <w:rsid w:val="74CB28DA"/>
    <w:rsid w:val="75352A78"/>
    <w:rsid w:val="7835786E"/>
    <w:rsid w:val="7836450F"/>
    <w:rsid w:val="7A995229"/>
    <w:rsid w:val="7BC6204D"/>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1000</Words>
  <Characters>1051</Characters>
  <Lines>8</Lines>
  <Paragraphs>2</Paragraphs>
  <TotalTime>63</TotalTime>
  <ScaleCrop>false</ScaleCrop>
  <LinksUpToDate>false</LinksUpToDate>
  <CharactersWithSpaces>1052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夏坚</cp:lastModifiedBy>
  <cp:lastPrinted>2021-12-09T07:52:00Z</cp:lastPrinted>
  <dcterms:modified xsi:type="dcterms:W3CDTF">2024-11-08T04:13:30Z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19CE6C4B7F8A43C7981FA066754F118C</vt:lpwstr>
  </property>
</Properties>
</file>