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rPr>
          <w:rFonts w:ascii="宋体" w:hAnsi="宋体"/>
          <w:b/>
          <w:sz w:val="28"/>
          <w:szCs w:val="28"/>
        </w:rPr>
      </w:pPr>
      <w:r>
        <w:rPr>
          <w:rFonts w:hint="eastAsia" w:ascii="宋体" w:hAnsi="宋体"/>
          <w:b/>
          <w:sz w:val="28"/>
          <w:szCs w:val="28"/>
        </w:rPr>
        <w:t>附件3</w:t>
      </w:r>
    </w:p>
    <w:p>
      <w:pPr>
        <w:spacing w:line="400" w:lineRule="exact"/>
        <w:jc w:val="both"/>
        <w:rPr>
          <w:rFonts w:hint="eastAsia" w:ascii="宋体" w:hAnsi="宋体" w:eastAsia="宋体" w:cs="宋体"/>
          <w:b/>
          <w:bCs/>
          <w:sz w:val="18"/>
          <w:szCs w:val="18"/>
          <w:lang w:val="en-US" w:eastAsia="zh-CN"/>
        </w:rPr>
      </w:pPr>
      <w:r>
        <w:rPr>
          <w:rFonts w:hint="eastAsia" w:ascii="宋体" w:hAnsi="宋体" w:eastAsia="宋体" w:cs="宋体"/>
          <w:b/>
          <w:bCs/>
          <w:sz w:val="18"/>
          <w:szCs w:val="18"/>
          <w:lang w:val="en-US" w:eastAsia="zh-CN"/>
        </w:rPr>
        <w:t>说明：</w:t>
      </w:r>
    </w:p>
    <w:p>
      <w:pPr>
        <w:numPr>
          <w:numId w:val="0"/>
        </w:numPr>
        <w:spacing w:line="400" w:lineRule="exact"/>
        <w:jc w:val="both"/>
        <w:rPr>
          <w:rFonts w:ascii="宋体" w:hAnsi="宋体" w:eastAsia="宋体" w:cs="宋体"/>
          <w:sz w:val="18"/>
          <w:szCs w:val="18"/>
        </w:rPr>
      </w:pPr>
      <w:r>
        <w:rPr>
          <w:rFonts w:hint="eastAsia" w:ascii="宋体" w:hAnsi="宋体" w:eastAsia="宋体" w:cs="宋体"/>
          <w:b/>
          <w:bCs/>
          <w:sz w:val="18"/>
          <w:szCs w:val="18"/>
          <w:lang w:val="en-US" w:eastAsia="zh-CN"/>
        </w:rPr>
        <w:t>1.</w:t>
      </w:r>
      <w:r>
        <w:rPr>
          <w:rFonts w:ascii="宋体" w:hAnsi="宋体" w:eastAsia="宋体" w:cs="宋体"/>
          <w:b/>
          <w:bCs/>
          <w:sz w:val="18"/>
          <w:szCs w:val="18"/>
        </w:rPr>
        <w:t>投标人须根据技术参数及性能配置要求提供一一对应的技术响应偏离表。</w:t>
      </w:r>
      <w:r>
        <w:rPr>
          <w:rFonts w:ascii="宋体" w:hAnsi="宋体" w:eastAsia="宋体" w:cs="宋体"/>
          <w:b/>
          <w:bCs/>
          <w:sz w:val="18"/>
          <w:szCs w:val="18"/>
        </w:rPr>
        <w:br w:type="textWrapping"/>
      </w:r>
      <w:r>
        <w:rPr>
          <w:rFonts w:ascii="宋体" w:hAnsi="宋体" w:eastAsia="宋体" w:cs="宋体"/>
          <w:b/>
          <w:bCs/>
          <w:sz w:val="18"/>
          <w:szCs w:val="18"/>
        </w:rPr>
        <w:t>2.本章中带★号条款为实质性内容要求，投标时必须满足</w:t>
      </w:r>
      <w:r>
        <w:rPr>
          <w:rFonts w:ascii="宋体" w:hAnsi="宋体" w:eastAsia="宋体" w:cs="宋体"/>
          <w:sz w:val="18"/>
          <w:szCs w:val="18"/>
        </w:rPr>
        <w:t>。</w:t>
      </w:r>
    </w:p>
    <w:p>
      <w:pPr>
        <w:numPr>
          <w:numId w:val="0"/>
        </w:numPr>
        <w:spacing w:line="400" w:lineRule="exact"/>
        <w:ind w:firstLine="3654" w:firstLineChars="1300"/>
        <w:jc w:val="both"/>
        <w:rPr>
          <w:rFonts w:hint="eastAsia" w:ascii="宋体" w:hAnsi="宋体"/>
          <w:b/>
          <w:sz w:val="28"/>
          <w:szCs w:val="28"/>
        </w:rPr>
      </w:pPr>
    </w:p>
    <w:p>
      <w:pPr>
        <w:numPr>
          <w:numId w:val="0"/>
        </w:numPr>
        <w:spacing w:line="400" w:lineRule="exact"/>
        <w:ind w:firstLine="3654" w:firstLineChars="1300"/>
        <w:jc w:val="both"/>
        <w:rPr>
          <w:rFonts w:hint="eastAsia" w:ascii="宋体" w:hAnsi="宋体"/>
          <w:b/>
          <w:sz w:val="28"/>
          <w:szCs w:val="28"/>
        </w:rPr>
      </w:pPr>
      <w:bookmarkStart w:id="0" w:name="_GoBack"/>
      <w:bookmarkEnd w:id="0"/>
      <w:r>
        <w:rPr>
          <w:rFonts w:hint="eastAsia" w:ascii="宋体" w:hAnsi="宋体"/>
          <w:b/>
          <w:sz w:val="28"/>
          <w:szCs w:val="28"/>
        </w:rPr>
        <w:t>采购需求</w:t>
      </w:r>
    </w:p>
    <w:p>
      <w:pPr>
        <w:pStyle w:val="2"/>
      </w:pPr>
    </w:p>
    <w:tbl>
      <w:tblPr>
        <w:tblStyle w:val="11"/>
        <w:tblW w:w="920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30"/>
        <w:gridCol w:w="983"/>
        <w:gridCol w:w="948"/>
        <w:gridCol w:w="920"/>
        <w:gridCol w:w="1471"/>
        <w:gridCol w:w="405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9209" w:type="dxa"/>
            <w:gridSpan w:val="6"/>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b/>
                <w:szCs w:val="21"/>
              </w:rPr>
            </w:pPr>
            <w:r>
              <w:rPr>
                <w:rFonts w:hint="eastAsia" w:ascii="宋体" w:hAnsi="宋体"/>
                <w:b/>
                <w:szCs w:val="21"/>
              </w:rPr>
              <w:t>一、物品参数需求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8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
                <w:szCs w:val="21"/>
              </w:rPr>
            </w:pPr>
            <w:r>
              <w:rPr>
                <w:rFonts w:hint="eastAsia" w:ascii="宋体" w:hAnsi="宋体"/>
                <w:b/>
                <w:szCs w:val="21"/>
              </w:rPr>
              <w:t>序号</w:t>
            </w:r>
          </w:p>
        </w:tc>
        <w:tc>
          <w:tcPr>
            <w:tcW w:w="1931"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
                <w:szCs w:val="21"/>
              </w:rPr>
            </w:pPr>
            <w:r>
              <w:rPr>
                <w:rFonts w:hint="eastAsia" w:ascii="宋体" w:hAnsi="宋体"/>
                <w:b/>
                <w:szCs w:val="21"/>
              </w:rPr>
              <w:t>采购物品名称</w:t>
            </w:r>
          </w:p>
        </w:tc>
        <w:tc>
          <w:tcPr>
            <w:tcW w:w="92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
                <w:szCs w:val="21"/>
              </w:rPr>
            </w:pPr>
            <w:r>
              <w:rPr>
                <w:rFonts w:hint="eastAsia" w:ascii="宋体" w:hAnsi="宋体"/>
                <w:b/>
                <w:szCs w:val="21"/>
              </w:rPr>
              <w:t>品牌</w:t>
            </w:r>
          </w:p>
        </w:tc>
        <w:tc>
          <w:tcPr>
            <w:tcW w:w="147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
                <w:szCs w:val="21"/>
              </w:rPr>
            </w:pPr>
            <w:r>
              <w:rPr>
                <w:rFonts w:hint="eastAsia" w:ascii="宋体" w:hAnsi="宋体"/>
                <w:b/>
                <w:szCs w:val="21"/>
              </w:rPr>
              <w:t>数量</w:t>
            </w:r>
          </w:p>
          <w:p>
            <w:pPr>
              <w:spacing w:line="360" w:lineRule="auto"/>
              <w:jc w:val="center"/>
              <w:rPr>
                <w:rFonts w:ascii="宋体" w:hAnsi="宋体"/>
                <w:b/>
                <w:szCs w:val="21"/>
              </w:rPr>
            </w:pPr>
            <w:r>
              <w:rPr>
                <w:rFonts w:hint="eastAsia" w:ascii="宋体" w:hAnsi="宋体"/>
                <w:b/>
                <w:szCs w:val="21"/>
              </w:rPr>
              <w:t>单位</w:t>
            </w:r>
          </w:p>
        </w:tc>
        <w:tc>
          <w:tcPr>
            <w:tcW w:w="405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
                <w:szCs w:val="21"/>
              </w:rPr>
            </w:pPr>
            <w:r>
              <w:rPr>
                <w:rFonts w:hint="eastAsia" w:ascii="宋体" w:hAnsi="宋体"/>
                <w:b/>
                <w:szCs w:val="21"/>
              </w:rPr>
              <w:t>项目要求及物品参数需求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3" w:hRule="atLeast"/>
          <w:jc w:val="center"/>
        </w:trPr>
        <w:tc>
          <w:tcPr>
            <w:tcW w:w="8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r>
              <w:rPr>
                <w:rFonts w:hint="eastAsia" w:ascii="宋体" w:hAnsi="宋体"/>
                <w:szCs w:val="21"/>
              </w:rPr>
              <w:t>1</w:t>
            </w:r>
          </w:p>
        </w:tc>
        <w:tc>
          <w:tcPr>
            <w:tcW w:w="1931"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hint="eastAsia" w:ascii="宋体" w:hAnsi="宋体" w:cs="宋体" w:eastAsiaTheme="minorEastAsia"/>
                <w:kern w:val="0"/>
                <w:szCs w:val="21"/>
                <w:lang w:val="en-US" w:eastAsia="zh-CN"/>
              </w:rPr>
            </w:pPr>
            <w:r>
              <w:rPr>
                <w:rFonts w:hint="eastAsia" w:ascii="宋体" w:hAnsi="宋体" w:cs="宋体"/>
                <w:kern w:val="0"/>
                <w:szCs w:val="21"/>
                <w:lang w:val="en-US" w:eastAsia="zh-CN"/>
              </w:rPr>
              <w:t>校园卡</w:t>
            </w:r>
          </w:p>
        </w:tc>
        <w:tc>
          <w:tcPr>
            <w:tcW w:w="92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eastAsiaTheme="minorEastAsia"/>
                <w:kern w:val="0"/>
                <w:szCs w:val="21"/>
                <w:lang w:eastAsia="zh-CN"/>
              </w:rPr>
            </w:pPr>
            <w:r>
              <w:rPr>
                <w:rFonts w:hint="eastAsia" w:ascii="宋体" w:hAnsi="宋体" w:cs="宋体"/>
                <w:kern w:val="0"/>
                <w:szCs w:val="21"/>
                <w:lang w:eastAsia="zh-CN"/>
              </w:rPr>
              <w:t>定制</w:t>
            </w:r>
          </w:p>
        </w:tc>
        <w:tc>
          <w:tcPr>
            <w:tcW w:w="147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eastAsiaTheme="minorEastAsia"/>
                <w:kern w:val="0"/>
                <w:szCs w:val="21"/>
                <w:lang w:eastAsia="zh-CN"/>
              </w:rPr>
            </w:pPr>
            <w:r>
              <w:rPr>
                <w:rFonts w:hint="eastAsia" w:ascii="宋体" w:hAnsi="宋体" w:cs="宋体"/>
                <w:kern w:val="0"/>
                <w:szCs w:val="21"/>
                <w:lang w:val="en-US" w:eastAsia="zh-CN"/>
              </w:rPr>
              <w:t>9550</w:t>
            </w:r>
            <w:r>
              <w:rPr>
                <w:rFonts w:hint="eastAsia" w:ascii="宋体" w:hAnsi="宋体" w:cs="宋体"/>
                <w:kern w:val="0"/>
                <w:szCs w:val="21"/>
                <w:lang w:eastAsia="zh-CN"/>
              </w:rPr>
              <w:t>张</w:t>
            </w:r>
          </w:p>
        </w:tc>
        <w:tc>
          <w:tcPr>
            <w:tcW w:w="4057"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Theme="minorEastAsia" w:hAnsiTheme="minorEastAsia" w:cstheme="minorEastAsia"/>
                <w:color w:val="000000" w:themeColor="text1"/>
                <w:kern w:val="0"/>
                <w:sz w:val="18"/>
                <w:szCs w:val="18"/>
                <w14:textFill>
                  <w14:solidFill>
                    <w14:schemeClr w14:val="tx1"/>
                  </w14:solidFill>
                </w14:textFill>
              </w:rPr>
            </w:pPr>
            <w:r>
              <w:rPr>
                <w:rFonts w:hint="eastAsia" w:asciiTheme="minorEastAsia" w:hAnsiTheme="minorEastAsia" w:cstheme="minorEastAsia"/>
                <w:color w:val="000000" w:themeColor="text1"/>
                <w:kern w:val="0"/>
                <w:sz w:val="18"/>
                <w:szCs w:val="18"/>
                <w14:textFill>
                  <w14:solidFill>
                    <w14:schemeClr w14:val="tx1"/>
                  </w14:solidFill>
                </w14:textFill>
              </w:rPr>
              <w:t>1.芯片采用微电子 13.56Mhz CPU 芯片；</w:t>
            </w:r>
          </w:p>
          <w:p>
            <w:pPr>
              <w:widowControl/>
              <w:jc w:val="left"/>
              <w:textAlignment w:val="center"/>
              <w:rPr>
                <w:rFonts w:asciiTheme="minorEastAsia" w:hAnsiTheme="minorEastAsia" w:cstheme="minorEastAsia"/>
                <w:color w:val="000000" w:themeColor="text1"/>
                <w:kern w:val="0"/>
                <w:sz w:val="18"/>
                <w:szCs w:val="18"/>
                <w14:textFill>
                  <w14:solidFill>
                    <w14:schemeClr w14:val="tx1"/>
                  </w14:solidFill>
                </w14:textFill>
              </w:rPr>
            </w:pPr>
            <w:r>
              <w:rPr>
                <w:rFonts w:hint="eastAsia" w:asciiTheme="minorEastAsia" w:hAnsiTheme="minorEastAsia" w:cstheme="minorEastAsia"/>
                <w:color w:val="000000" w:themeColor="text1"/>
                <w:kern w:val="0"/>
                <w:sz w:val="18"/>
                <w:szCs w:val="18"/>
                <w14:textFill>
                  <w14:solidFill>
                    <w14:schemeClr w14:val="tx1"/>
                  </w14:solidFill>
                </w14:textFill>
              </w:rPr>
              <w:t>2.芯片容量16K EEPROM。其中 1 个模拟标准 Mirfare on（1K）；</w:t>
            </w:r>
          </w:p>
          <w:p>
            <w:pPr>
              <w:widowControl/>
              <w:jc w:val="left"/>
              <w:textAlignment w:val="center"/>
              <w:rPr>
                <w:rFonts w:asciiTheme="minorEastAsia" w:hAnsiTheme="minorEastAsia" w:cstheme="minorEastAsia"/>
                <w:color w:val="000000" w:themeColor="text1"/>
                <w:kern w:val="0"/>
                <w:sz w:val="18"/>
                <w:szCs w:val="18"/>
                <w14:textFill>
                  <w14:solidFill>
                    <w14:schemeClr w14:val="tx1"/>
                  </w14:solidFill>
                </w14:textFill>
              </w:rPr>
            </w:pPr>
            <w:r>
              <w:rPr>
                <w:rFonts w:hint="eastAsia" w:asciiTheme="minorEastAsia" w:hAnsiTheme="minorEastAsia" w:cstheme="minorEastAsia"/>
                <w:color w:val="000000" w:themeColor="text1"/>
                <w:kern w:val="0"/>
                <w:sz w:val="18"/>
                <w:szCs w:val="18"/>
                <w14:textFill>
                  <w14:solidFill>
                    <w14:schemeClr w14:val="tx1"/>
                  </w14:solidFill>
                </w14:textFill>
              </w:rPr>
              <w:t>3.外形符合 ISO 标准卡尺寸 85.60×54.00×1.00±0.02mm；</w:t>
            </w:r>
          </w:p>
          <w:p>
            <w:pPr>
              <w:widowControl/>
              <w:jc w:val="left"/>
              <w:textAlignment w:val="center"/>
              <w:rPr>
                <w:rFonts w:asciiTheme="minorEastAsia" w:hAnsiTheme="minorEastAsia" w:cstheme="minorEastAsia"/>
                <w:color w:val="000000" w:themeColor="text1"/>
                <w:kern w:val="0"/>
                <w:sz w:val="18"/>
                <w:szCs w:val="18"/>
                <w14:textFill>
                  <w14:solidFill>
                    <w14:schemeClr w14:val="tx1"/>
                  </w14:solidFill>
                </w14:textFill>
              </w:rPr>
            </w:pPr>
            <w:r>
              <w:rPr>
                <w:rFonts w:hint="eastAsia" w:asciiTheme="minorEastAsia" w:hAnsiTheme="minorEastAsia" w:cstheme="minorEastAsia"/>
                <w:color w:val="000000" w:themeColor="text1"/>
                <w:kern w:val="0"/>
                <w:sz w:val="18"/>
                <w:szCs w:val="18"/>
                <w14:textFill>
                  <w14:solidFill>
                    <w14:schemeClr w14:val="tx1"/>
                  </w14:solidFill>
                </w14:textFill>
              </w:rPr>
              <w:t>4.封装材料为 PVC；</w:t>
            </w:r>
          </w:p>
          <w:p>
            <w:pPr>
              <w:widowControl/>
              <w:jc w:val="left"/>
              <w:textAlignment w:val="center"/>
              <w:rPr>
                <w:rFonts w:asciiTheme="minorEastAsia" w:hAnsiTheme="minorEastAsia" w:cstheme="minorEastAsia"/>
                <w:color w:val="000000" w:themeColor="text1"/>
                <w:kern w:val="0"/>
                <w:sz w:val="18"/>
                <w:szCs w:val="18"/>
                <w14:textFill>
                  <w14:solidFill>
                    <w14:schemeClr w14:val="tx1"/>
                  </w14:solidFill>
                </w14:textFill>
              </w:rPr>
            </w:pPr>
            <w:r>
              <w:rPr>
                <w:rFonts w:hint="eastAsia" w:asciiTheme="minorEastAsia" w:hAnsiTheme="minorEastAsia" w:cstheme="minorEastAsia"/>
                <w:color w:val="000000" w:themeColor="text1"/>
                <w:kern w:val="0"/>
                <w:sz w:val="18"/>
                <w:szCs w:val="18"/>
                <w14:textFill>
                  <w14:solidFill>
                    <w14:schemeClr w14:val="tx1"/>
                  </w14:solidFill>
                </w14:textFill>
              </w:rPr>
              <w:t>5.卡片技术要求、应用技术要求、密钥系统、安全认证技术等要求符合《中国金融集成电路 IC 卡规范》 V2.0 ED/EP；</w:t>
            </w:r>
          </w:p>
          <w:p>
            <w:pPr>
              <w:widowControl/>
              <w:jc w:val="left"/>
              <w:textAlignment w:val="center"/>
              <w:rPr>
                <w:rFonts w:asciiTheme="minorEastAsia" w:hAnsiTheme="minorEastAsia" w:cstheme="minorEastAsia"/>
                <w:color w:val="000000" w:themeColor="text1"/>
                <w:kern w:val="0"/>
                <w:sz w:val="18"/>
                <w:szCs w:val="18"/>
                <w14:textFill>
                  <w14:solidFill>
                    <w14:schemeClr w14:val="tx1"/>
                  </w14:solidFill>
                </w14:textFill>
              </w:rPr>
            </w:pPr>
            <w:r>
              <w:rPr>
                <w:rFonts w:hint="eastAsia" w:asciiTheme="minorEastAsia" w:hAnsiTheme="minorEastAsia" w:cstheme="minorEastAsia"/>
                <w:color w:val="000000" w:themeColor="text1"/>
                <w:kern w:val="0"/>
                <w:sz w:val="18"/>
                <w:szCs w:val="18"/>
                <w14:textFill>
                  <w14:solidFill>
                    <w14:schemeClr w14:val="tx1"/>
                  </w14:solidFill>
                </w14:textFill>
              </w:rPr>
              <w:t>6.具有防冲突机制；</w:t>
            </w:r>
          </w:p>
          <w:p>
            <w:pPr>
              <w:widowControl/>
              <w:jc w:val="left"/>
              <w:textAlignment w:val="center"/>
              <w:rPr>
                <w:rFonts w:asciiTheme="minorEastAsia" w:hAnsiTheme="minorEastAsia" w:cstheme="minorEastAsia"/>
                <w:color w:val="000000" w:themeColor="text1"/>
                <w:kern w:val="0"/>
                <w:sz w:val="18"/>
                <w:szCs w:val="18"/>
                <w14:textFill>
                  <w14:solidFill>
                    <w14:schemeClr w14:val="tx1"/>
                  </w14:solidFill>
                </w14:textFill>
              </w:rPr>
            </w:pPr>
            <w:r>
              <w:rPr>
                <w:rFonts w:hint="eastAsia" w:asciiTheme="minorEastAsia" w:hAnsiTheme="minorEastAsia" w:cstheme="minorEastAsia"/>
                <w:color w:val="000000" w:themeColor="text1"/>
                <w:kern w:val="0"/>
                <w:sz w:val="18"/>
                <w:szCs w:val="18"/>
                <w14:textFill>
                  <w14:solidFill>
                    <w14:schemeClr w14:val="tx1"/>
                  </w14:solidFill>
                </w14:textFill>
              </w:rPr>
              <w:t>7.每张卡有唯一序列号，为 32 位；</w:t>
            </w:r>
          </w:p>
          <w:p>
            <w:pPr>
              <w:widowControl/>
              <w:jc w:val="left"/>
              <w:textAlignment w:val="center"/>
              <w:rPr>
                <w:rFonts w:asciiTheme="minorEastAsia" w:hAnsiTheme="minorEastAsia" w:cstheme="minorEastAsia"/>
                <w:color w:val="000000" w:themeColor="text1"/>
                <w:kern w:val="0"/>
                <w:sz w:val="18"/>
                <w:szCs w:val="18"/>
                <w14:textFill>
                  <w14:solidFill>
                    <w14:schemeClr w14:val="tx1"/>
                  </w14:solidFill>
                </w14:textFill>
              </w:rPr>
            </w:pPr>
            <w:r>
              <w:rPr>
                <w:rFonts w:hint="eastAsia" w:asciiTheme="minorEastAsia" w:hAnsiTheme="minorEastAsia" w:cstheme="minorEastAsia"/>
                <w:color w:val="000000" w:themeColor="text1"/>
                <w:kern w:val="0"/>
                <w:sz w:val="18"/>
                <w:szCs w:val="18"/>
                <w14:textFill>
                  <w14:solidFill>
                    <w14:schemeClr w14:val="tx1"/>
                  </w14:solidFill>
                </w14:textFill>
              </w:rPr>
              <w:t>8、支持多卡操作无电源，自带天线；</w:t>
            </w:r>
          </w:p>
          <w:p>
            <w:pPr>
              <w:widowControl/>
              <w:jc w:val="left"/>
              <w:textAlignment w:val="center"/>
              <w:rPr>
                <w:rFonts w:asciiTheme="minorEastAsia" w:hAnsiTheme="minorEastAsia" w:cstheme="minorEastAsia"/>
                <w:color w:val="000000" w:themeColor="text1"/>
                <w:kern w:val="0"/>
                <w:sz w:val="18"/>
                <w:szCs w:val="18"/>
                <w14:textFill>
                  <w14:solidFill>
                    <w14:schemeClr w14:val="tx1"/>
                  </w14:solidFill>
                </w14:textFill>
              </w:rPr>
            </w:pPr>
            <w:r>
              <w:rPr>
                <w:rFonts w:hint="eastAsia" w:asciiTheme="minorEastAsia" w:hAnsiTheme="minorEastAsia" w:cstheme="minorEastAsia"/>
                <w:color w:val="000000" w:themeColor="text1"/>
                <w:kern w:val="0"/>
                <w:sz w:val="18"/>
                <w:szCs w:val="18"/>
                <w14:textFill>
                  <w14:solidFill>
                    <w14:schemeClr w14:val="tx1"/>
                  </w14:solidFill>
                </w14:textFill>
              </w:rPr>
              <w:t>9、内含加密控制逻辑和通讯逻辑电路；</w:t>
            </w:r>
          </w:p>
          <w:p>
            <w:pPr>
              <w:widowControl/>
              <w:jc w:val="left"/>
              <w:textAlignment w:val="center"/>
              <w:rPr>
                <w:rFonts w:asciiTheme="minorEastAsia" w:hAnsiTheme="minorEastAsia" w:cstheme="minorEastAsia"/>
                <w:color w:val="000000" w:themeColor="text1"/>
                <w:kern w:val="0"/>
                <w:sz w:val="18"/>
                <w:szCs w:val="18"/>
                <w14:textFill>
                  <w14:solidFill>
                    <w14:schemeClr w14:val="tx1"/>
                  </w14:solidFill>
                </w14:textFill>
              </w:rPr>
            </w:pPr>
            <w:r>
              <w:rPr>
                <w:rFonts w:hint="eastAsia" w:asciiTheme="minorEastAsia" w:hAnsiTheme="minorEastAsia" w:cstheme="minorEastAsia"/>
                <w:color w:val="000000" w:themeColor="text1"/>
                <w:kern w:val="0"/>
                <w:sz w:val="18"/>
                <w:szCs w:val="18"/>
                <w14:textFill>
                  <w14:solidFill>
                    <w14:schemeClr w14:val="tx1"/>
                  </w14:solidFill>
                </w14:textFill>
              </w:rPr>
              <w:t>10、数据保存期：〉15 年；</w:t>
            </w:r>
          </w:p>
          <w:p>
            <w:pPr>
              <w:widowControl/>
              <w:jc w:val="left"/>
              <w:textAlignment w:val="center"/>
              <w:rPr>
                <w:rFonts w:asciiTheme="minorEastAsia" w:hAnsiTheme="minorEastAsia" w:cstheme="minorEastAsia"/>
                <w:color w:val="000000" w:themeColor="text1"/>
                <w:kern w:val="0"/>
                <w:sz w:val="18"/>
                <w:szCs w:val="18"/>
                <w14:textFill>
                  <w14:solidFill>
                    <w14:schemeClr w14:val="tx1"/>
                  </w14:solidFill>
                </w14:textFill>
              </w:rPr>
            </w:pPr>
            <w:r>
              <w:rPr>
                <w:rFonts w:hint="eastAsia" w:asciiTheme="minorEastAsia" w:hAnsiTheme="minorEastAsia" w:cstheme="minorEastAsia"/>
                <w:color w:val="000000" w:themeColor="text1"/>
                <w:kern w:val="0"/>
                <w:sz w:val="18"/>
                <w:szCs w:val="18"/>
                <w14:textFill>
                  <w14:solidFill>
                    <w14:schemeClr w14:val="tx1"/>
                  </w14:solidFill>
                </w14:textFill>
              </w:rPr>
              <w:t>11、存储区可达 15 万次以上重复擦写；</w:t>
            </w:r>
          </w:p>
          <w:p>
            <w:pPr>
              <w:widowControl/>
              <w:jc w:val="left"/>
              <w:textAlignment w:val="center"/>
              <w:rPr>
                <w:rFonts w:asciiTheme="minorEastAsia" w:hAnsiTheme="minorEastAsia" w:cstheme="minorEastAsia"/>
                <w:color w:val="000000" w:themeColor="text1"/>
                <w:kern w:val="0"/>
                <w:sz w:val="18"/>
                <w:szCs w:val="18"/>
                <w14:textFill>
                  <w14:solidFill>
                    <w14:schemeClr w14:val="tx1"/>
                  </w14:solidFill>
                </w14:textFill>
              </w:rPr>
            </w:pPr>
            <w:r>
              <w:rPr>
                <w:rFonts w:hint="eastAsia" w:asciiTheme="minorEastAsia" w:hAnsiTheme="minorEastAsia" w:cstheme="minorEastAsia"/>
                <w:color w:val="000000" w:themeColor="text1"/>
                <w:kern w:val="0"/>
                <w:sz w:val="18"/>
                <w:szCs w:val="18"/>
                <w14:textFill>
                  <w14:solidFill>
                    <w14:schemeClr w14:val="tx1"/>
                  </w14:solidFill>
                </w14:textFill>
              </w:rPr>
              <w:t>12、每个扇区有独立的一组密码及访问控制；</w:t>
            </w:r>
          </w:p>
          <w:p>
            <w:pPr>
              <w:rPr>
                <w:rFonts w:asciiTheme="minorEastAsia" w:hAnsiTheme="minorEastAsia" w:cstheme="minorEastAsia"/>
                <w:color w:val="000000" w:themeColor="text1"/>
                <w:kern w:val="0"/>
                <w:sz w:val="18"/>
                <w:szCs w:val="18"/>
                <w14:textFill>
                  <w14:solidFill>
                    <w14:schemeClr w14:val="tx1"/>
                  </w14:solidFill>
                </w14:textFill>
              </w:rPr>
            </w:pPr>
            <w:r>
              <w:rPr>
                <w:rFonts w:hint="eastAsia" w:asciiTheme="minorEastAsia" w:hAnsiTheme="minorEastAsia" w:cstheme="minorEastAsia"/>
                <w:color w:val="000000" w:themeColor="text1"/>
                <w:kern w:val="0"/>
                <w:sz w:val="18"/>
                <w:szCs w:val="18"/>
                <w14:textFill>
                  <w14:solidFill>
                    <w14:schemeClr w14:val="tx1"/>
                  </w14:solidFill>
                </w14:textFill>
              </w:rPr>
              <w:t>13、卡片与读写卡器的有效感应距离5-8cm；</w:t>
            </w:r>
          </w:p>
          <w:p>
            <w:pPr>
              <w:widowControl/>
              <w:jc w:val="left"/>
              <w:textAlignment w:val="center"/>
              <w:rPr>
                <w:rFonts w:asciiTheme="minorEastAsia" w:hAnsiTheme="minorEastAsia" w:cstheme="minorEastAsia"/>
                <w:color w:val="000000" w:themeColor="text1"/>
                <w:kern w:val="0"/>
                <w:sz w:val="18"/>
                <w:szCs w:val="18"/>
                <w14:textFill>
                  <w14:solidFill>
                    <w14:schemeClr w14:val="tx1"/>
                  </w14:solidFill>
                </w14:textFill>
              </w:rPr>
            </w:pPr>
            <w:r>
              <w:rPr>
                <w:rFonts w:hint="eastAsia" w:asciiTheme="minorEastAsia" w:hAnsiTheme="minorEastAsia" w:cstheme="minorEastAsia"/>
                <w:color w:val="000000" w:themeColor="text1"/>
                <w:kern w:val="0"/>
                <w:sz w:val="18"/>
                <w:szCs w:val="18"/>
                <w14:textFill>
                  <w14:solidFill>
                    <w14:schemeClr w14:val="tx1"/>
                  </w14:solidFill>
                </w14:textFill>
              </w:rPr>
              <w:t>★14、须与采购人现有一卡通系统（型号：新中新V</w:t>
            </w:r>
            <w:r>
              <w:rPr>
                <w:rFonts w:asciiTheme="minorEastAsia" w:hAnsiTheme="minorEastAsia" w:cstheme="minorEastAsia"/>
                <w:color w:val="000000" w:themeColor="text1"/>
                <w:kern w:val="0"/>
                <w:sz w:val="18"/>
                <w:szCs w:val="18"/>
                <w14:textFill>
                  <w14:solidFill>
                    <w14:schemeClr w14:val="tx1"/>
                  </w14:solidFill>
                </w14:textFill>
              </w:rPr>
              <w:t>4</w:t>
            </w:r>
            <w:r>
              <w:rPr>
                <w:rFonts w:hint="eastAsia" w:asciiTheme="minorEastAsia" w:hAnsiTheme="minorEastAsia" w:cstheme="minorEastAsia"/>
                <w:color w:val="000000" w:themeColor="text1"/>
                <w:kern w:val="0"/>
                <w:sz w:val="18"/>
                <w:szCs w:val="18"/>
                <w14:textFill>
                  <w14:solidFill>
                    <w14:schemeClr w14:val="tx1"/>
                  </w14:solidFill>
                </w14:textFill>
              </w:rPr>
              <w:t>.0）完全兼容并保证数据加密安全，竞标文件中提供现有一卡通系统厂家（北京新中新诚通信息技术股份有限公司）或国家第三方认证机构出具的兼容性证明材料。</w:t>
            </w:r>
          </w:p>
          <w:p>
            <w:pPr>
              <w:keepNext w:val="0"/>
              <w:keepLines w:val="0"/>
              <w:pageBreakBefore w:val="0"/>
              <w:widowControl w:val="0"/>
              <w:kinsoku/>
              <w:wordWrap/>
              <w:overflowPunct/>
              <w:topLinePunct w:val="0"/>
              <w:autoSpaceDE w:val="0"/>
              <w:autoSpaceDN w:val="0"/>
              <w:bidi w:val="0"/>
              <w:adjustRightInd w:val="0"/>
              <w:snapToGrid/>
              <w:spacing w:line="240" w:lineRule="atLeast"/>
              <w:jc w:val="left"/>
              <w:textAlignment w:val="auto"/>
              <w:rPr>
                <w:rFonts w:ascii="宋体" w:hAnsi="宋体" w:cs="宋体"/>
                <w:kern w:val="0"/>
                <w:sz w:val="16"/>
                <w:szCs w:val="16"/>
              </w:rPr>
            </w:pPr>
            <w:r>
              <w:rPr>
                <w:rFonts w:hint="eastAsia" w:asciiTheme="minorEastAsia" w:hAnsiTheme="minorEastAsia" w:cstheme="minorEastAsia"/>
                <w:color w:val="000000" w:themeColor="text1"/>
                <w:kern w:val="0"/>
                <w:sz w:val="18"/>
                <w:szCs w:val="18"/>
                <w14:textFill>
                  <w14:solidFill>
                    <w14:schemeClr w14:val="tx1"/>
                  </w14:solidFill>
                </w14:textFill>
              </w:rPr>
              <w:t>★</w:t>
            </w:r>
            <w:r>
              <w:rPr>
                <w:rFonts w:asciiTheme="minorEastAsia" w:hAnsiTheme="minorEastAsia" w:cstheme="minorEastAsia"/>
                <w:color w:val="000000" w:themeColor="text1"/>
                <w:kern w:val="0"/>
                <w:sz w:val="18"/>
                <w:szCs w:val="18"/>
                <w14:textFill>
                  <w14:solidFill>
                    <w14:schemeClr w14:val="tx1"/>
                  </w14:solidFill>
                </w14:textFill>
              </w:rPr>
              <w:t>15</w:t>
            </w:r>
            <w:r>
              <w:rPr>
                <w:rFonts w:hint="eastAsia" w:asciiTheme="minorEastAsia" w:hAnsiTheme="minorEastAsia" w:cstheme="minorEastAsia"/>
                <w:color w:val="000000" w:themeColor="text1"/>
                <w:kern w:val="0"/>
                <w:sz w:val="18"/>
                <w:szCs w:val="18"/>
                <w14:textFill>
                  <w14:solidFill>
                    <w14:schemeClr w14:val="tx1"/>
                  </w14:solidFill>
                </w14:textFill>
              </w:rPr>
              <w:t>.本次采购的cpu卡参数要与现有校园卡系统发卡读卡器兼容，不得设置任何私有密钥区域，经本校测试合格后，方可参与采购；</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3" w:hRule="atLeast"/>
          <w:jc w:val="center"/>
        </w:trPr>
        <w:tc>
          <w:tcPr>
            <w:tcW w:w="8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Theme="minorEastAsia"/>
                <w:szCs w:val="21"/>
                <w:lang w:val="en-US" w:eastAsia="zh-CN"/>
              </w:rPr>
            </w:pPr>
            <w:r>
              <w:rPr>
                <w:rFonts w:hint="eastAsia" w:ascii="宋体" w:hAnsi="宋体"/>
                <w:szCs w:val="21"/>
                <w:lang w:val="en-US" w:eastAsia="zh-CN"/>
              </w:rPr>
              <w:t>2</w:t>
            </w:r>
          </w:p>
        </w:tc>
        <w:tc>
          <w:tcPr>
            <w:tcW w:w="1931"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hint="eastAsia" w:ascii="宋体" w:hAnsi="宋体" w:eastAsia="宋体" w:cs="宋体"/>
                <w:color w:val="000000" w:themeColor="text1"/>
                <w:kern w:val="0"/>
                <w:szCs w:val="21"/>
                <w:lang w:val="en-US" w:eastAsia="zh-CN"/>
                <w14:textFill>
                  <w14:solidFill>
                    <w14:schemeClr w14:val="tx1"/>
                  </w14:solidFill>
                </w14:textFill>
              </w:rPr>
            </w:pPr>
          </w:p>
        </w:tc>
        <w:tc>
          <w:tcPr>
            <w:tcW w:w="92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kern w:val="0"/>
                <w:szCs w:val="21"/>
              </w:rPr>
            </w:pPr>
          </w:p>
        </w:tc>
        <w:tc>
          <w:tcPr>
            <w:tcW w:w="147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kern w:val="0"/>
                <w:szCs w:val="21"/>
                <w:lang w:eastAsia="zh-CN"/>
              </w:rPr>
            </w:pPr>
          </w:p>
        </w:tc>
        <w:tc>
          <w:tcPr>
            <w:tcW w:w="405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tLeast"/>
              <w:jc w:val="left"/>
              <w:textAlignment w:val="auto"/>
              <w:rPr>
                <w:rFonts w:ascii="宋体" w:hAnsi="宋体" w:cs="宋体"/>
                <w:kern w:val="0"/>
                <w:sz w:val="16"/>
                <w:szCs w:val="16"/>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3" w:hRule="atLeast"/>
          <w:jc w:val="center"/>
        </w:trPr>
        <w:tc>
          <w:tcPr>
            <w:tcW w:w="8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宋体" w:hAnsi="宋体"/>
                <w:szCs w:val="21"/>
                <w:lang w:val="en-US" w:eastAsia="zh-CN"/>
              </w:rPr>
            </w:pPr>
            <w:r>
              <w:rPr>
                <w:rFonts w:hint="eastAsia" w:ascii="宋体" w:hAnsi="宋体"/>
                <w:szCs w:val="21"/>
                <w:lang w:val="en-US" w:eastAsia="zh-CN"/>
              </w:rPr>
              <w:t>3</w:t>
            </w:r>
          </w:p>
        </w:tc>
        <w:tc>
          <w:tcPr>
            <w:tcW w:w="1931"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hint="eastAsia" w:ascii="宋体" w:hAnsi="宋体" w:eastAsia="宋体" w:cs="宋体"/>
                <w:color w:val="000000" w:themeColor="text1"/>
                <w:kern w:val="0"/>
                <w:szCs w:val="21"/>
                <w:lang w:val="en-US" w:eastAsia="zh-CN"/>
                <w14:textFill>
                  <w14:solidFill>
                    <w14:schemeClr w14:val="tx1"/>
                  </w14:solidFill>
                </w14:textFill>
              </w:rPr>
            </w:pPr>
          </w:p>
        </w:tc>
        <w:tc>
          <w:tcPr>
            <w:tcW w:w="92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kern w:val="0"/>
                <w:szCs w:val="21"/>
              </w:rPr>
            </w:pPr>
          </w:p>
        </w:tc>
        <w:tc>
          <w:tcPr>
            <w:tcW w:w="147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kern w:val="0"/>
                <w:szCs w:val="21"/>
                <w:lang w:eastAsia="zh-CN"/>
              </w:rPr>
            </w:pPr>
          </w:p>
        </w:tc>
        <w:tc>
          <w:tcPr>
            <w:tcW w:w="405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tLeast"/>
              <w:jc w:val="left"/>
              <w:textAlignment w:val="auto"/>
              <w:rPr>
                <w:rFonts w:ascii="宋体" w:hAnsi="宋体" w:cs="宋体"/>
                <w:kern w:val="0"/>
                <w:sz w:val="16"/>
                <w:szCs w:val="16"/>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3" w:hRule="atLeast"/>
          <w:jc w:val="center"/>
        </w:trPr>
        <w:tc>
          <w:tcPr>
            <w:tcW w:w="8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宋体" w:hAnsi="宋体"/>
                <w:szCs w:val="21"/>
                <w:lang w:val="en-US" w:eastAsia="zh-CN"/>
              </w:rPr>
            </w:pPr>
            <w:r>
              <w:rPr>
                <w:rFonts w:hint="eastAsia" w:ascii="宋体" w:hAnsi="宋体"/>
                <w:szCs w:val="21"/>
                <w:lang w:val="en-US" w:eastAsia="zh-CN"/>
              </w:rPr>
              <w:t>4</w:t>
            </w:r>
          </w:p>
        </w:tc>
        <w:tc>
          <w:tcPr>
            <w:tcW w:w="1931"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hint="eastAsia" w:ascii="宋体" w:hAnsi="宋体" w:eastAsia="宋体" w:cs="宋体"/>
                <w:color w:val="000000"/>
                <w:kern w:val="0"/>
                <w:sz w:val="21"/>
                <w:szCs w:val="21"/>
                <w:lang w:bidi="ar"/>
              </w:rPr>
            </w:pPr>
          </w:p>
        </w:tc>
        <w:tc>
          <w:tcPr>
            <w:tcW w:w="92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000000"/>
                <w:kern w:val="0"/>
                <w:sz w:val="21"/>
                <w:szCs w:val="21"/>
                <w:lang w:eastAsia="zh-CN" w:bidi="ar"/>
              </w:rPr>
            </w:pPr>
          </w:p>
        </w:tc>
        <w:tc>
          <w:tcPr>
            <w:tcW w:w="147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kern w:val="0"/>
                <w:szCs w:val="21"/>
                <w:lang w:eastAsia="zh-CN"/>
              </w:rPr>
            </w:pPr>
          </w:p>
        </w:tc>
        <w:tc>
          <w:tcPr>
            <w:tcW w:w="405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tLeast"/>
              <w:jc w:val="left"/>
              <w:textAlignment w:val="auto"/>
              <w:rPr>
                <w:rFonts w:hint="eastAsia" w:ascii="宋体" w:hAnsi="宋体" w:eastAsia="宋体" w:cs="宋体"/>
                <w:color w:val="000000"/>
                <w:kern w:val="0"/>
                <w:sz w:val="21"/>
                <w:szCs w:val="21"/>
                <w:lang w:eastAsia="zh-CN" w:bidi="ar"/>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3" w:hRule="atLeast"/>
          <w:jc w:val="center"/>
        </w:trPr>
        <w:tc>
          <w:tcPr>
            <w:tcW w:w="8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宋体" w:hAnsi="宋体"/>
                <w:szCs w:val="21"/>
                <w:lang w:val="en-US" w:eastAsia="zh-CN"/>
              </w:rPr>
            </w:pPr>
            <w:r>
              <w:rPr>
                <w:rFonts w:hint="eastAsia" w:ascii="宋体" w:hAnsi="宋体"/>
                <w:szCs w:val="21"/>
                <w:lang w:val="en-US" w:eastAsia="zh-CN"/>
              </w:rPr>
              <w:t>5</w:t>
            </w:r>
          </w:p>
        </w:tc>
        <w:tc>
          <w:tcPr>
            <w:tcW w:w="1931"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hint="eastAsia" w:ascii="宋体" w:hAnsi="宋体" w:eastAsia="宋体" w:cs="宋体"/>
                <w:color w:val="000000"/>
                <w:kern w:val="0"/>
                <w:sz w:val="21"/>
                <w:szCs w:val="21"/>
                <w:lang w:bidi="ar"/>
              </w:rPr>
            </w:pPr>
          </w:p>
        </w:tc>
        <w:tc>
          <w:tcPr>
            <w:tcW w:w="92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000000"/>
                <w:kern w:val="0"/>
                <w:sz w:val="21"/>
                <w:szCs w:val="21"/>
                <w:lang w:bidi="ar"/>
              </w:rPr>
            </w:pPr>
          </w:p>
        </w:tc>
        <w:tc>
          <w:tcPr>
            <w:tcW w:w="147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kern w:val="0"/>
                <w:szCs w:val="21"/>
                <w:lang w:eastAsia="zh-CN"/>
              </w:rPr>
            </w:pPr>
          </w:p>
        </w:tc>
        <w:tc>
          <w:tcPr>
            <w:tcW w:w="4057" w:type="dxa"/>
            <w:tcBorders>
              <w:top w:val="single" w:color="auto" w:sz="4" w:space="0"/>
              <w:left w:val="single" w:color="auto" w:sz="4" w:space="0"/>
              <w:bottom w:val="single" w:color="auto" w:sz="4" w:space="0"/>
              <w:right w:val="single" w:color="auto" w:sz="4" w:space="0"/>
            </w:tcBorders>
            <w:vAlign w:val="center"/>
          </w:tcPr>
          <w:p>
            <w:pPr>
              <w:widowControl/>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1" w:hRule="atLeast"/>
          <w:jc w:val="center"/>
        </w:trPr>
        <w:tc>
          <w:tcPr>
            <w:tcW w:w="9209" w:type="dxa"/>
            <w:gridSpan w:val="6"/>
            <w:tcBorders>
              <w:top w:val="single" w:color="auto" w:sz="4" w:space="0"/>
              <w:left w:val="single" w:color="auto" w:sz="4" w:space="0"/>
              <w:bottom w:val="single" w:color="auto" w:sz="4" w:space="0"/>
              <w:right w:val="single" w:color="auto" w:sz="4" w:space="0"/>
            </w:tcBorders>
            <w:vAlign w:val="center"/>
          </w:tcPr>
          <w:p>
            <w:pPr>
              <w:tabs>
                <w:tab w:val="left" w:pos="1820"/>
              </w:tabs>
              <w:spacing w:line="360" w:lineRule="auto"/>
              <w:rPr>
                <w:rFonts w:ascii="宋体" w:hAnsi="宋体" w:cs="宋体"/>
                <w:kern w:val="0"/>
                <w:szCs w:val="21"/>
              </w:rPr>
            </w:pPr>
            <w:r>
              <w:rPr>
                <w:rFonts w:hint="eastAsia" w:ascii="宋体" w:hAnsi="宋体" w:cs="宋体"/>
                <w:kern w:val="0"/>
                <w:szCs w:val="21"/>
              </w:rPr>
              <w:t>二、商务需求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1" w:hRule="atLeast"/>
          <w:jc w:val="center"/>
        </w:trPr>
        <w:tc>
          <w:tcPr>
            <w:tcW w:w="1813"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left"/>
              <w:rPr>
                <w:rFonts w:ascii="宋体" w:hAnsi="宋体" w:cs="宋体"/>
                <w:kern w:val="0"/>
                <w:szCs w:val="21"/>
              </w:rPr>
            </w:pPr>
            <w:r>
              <w:rPr>
                <w:rFonts w:hint="eastAsia" w:ascii="宋体" w:hAnsi="宋体"/>
                <w:szCs w:val="21"/>
              </w:rPr>
              <w:t>服务期限及地点</w:t>
            </w:r>
          </w:p>
        </w:tc>
        <w:tc>
          <w:tcPr>
            <w:tcW w:w="7396" w:type="dxa"/>
            <w:gridSpan w:val="4"/>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left"/>
              <w:rPr>
                <w:rFonts w:hint="eastAsia" w:ascii="宋体" w:hAnsi="宋体" w:cs="宋体" w:eastAsiaTheme="minorEastAsia"/>
                <w:kern w:val="0"/>
                <w:szCs w:val="21"/>
                <w:lang w:eastAsia="zh-CN"/>
              </w:rPr>
            </w:pPr>
            <w:r>
              <w:rPr>
                <w:rFonts w:hint="eastAsia" w:asciiTheme="minorEastAsia" w:hAnsiTheme="minorEastAsia"/>
                <w:color w:val="000000" w:themeColor="text1"/>
                <w:szCs w:val="21"/>
                <w:lang w:eastAsia="zh-CN"/>
                <w14:textFill>
                  <w14:solidFill>
                    <w14:schemeClr w14:val="tx1"/>
                  </w14:solidFill>
                </w14:textFill>
              </w:rPr>
              <w:t>质保期：</w:t>
            </w:r>
            <w:r>
              <w:rPr>
                <w:rFonts w:hint="eastAsia" w:asciiTheme="minorEastAsia" w:hAnsiTheme="minorEastAsia"/>
                <w:color w:val="000000" w:themeColor="text1"/>
                <w:szCs w:val="21"/>
                <w14:textFill>
                  <w14:solidFill>
                    <w14:schemeClr w14:val="tx1"/>
                  </w14:solidFill>
                </w14:textFill>
              </w:rPr>
              <w:t>自货物最终验收合格之日起计算，</w:t>
            </w:r>
            <w:r>
              <w:rPr>
                <w:rFonts w:hint="eastAsia" w:asciiTheme="minorEastAsia" w:hAnsiTheme="minorEastAsia"/>
                <w:color w:val="000000" w:themeColor="text1"/>
                <w:szCs w:val="21"/>
                <w:lang w:val="en-US" w:eastAsia="zh-CN"/>
                <w14:textFill>
                  <w14:solidFill>
                    <w14:schemeClr w14:val="tx1"/>
                  </w14:solidFill>
                </w14:textFill>
              </w:rPr>
              <w:t>提供</w:t>
            </w:r>
            <w:r>
              <w:rPr>
                <w:rFonts w:hint="eastAsia" w:asciiTheme="minorEastAsia" w:hAnsiTheme="minorEastAsia"/>
                <w:color w:val="000000" w:themeColor="text1"/>
                <w:szCs w:val="21"/>
                <w14:textFill>
                  <w14:solidFill>
                    <w14:schemeClr w14:val="tx1"/>
                  </w14:solidFill>
                </w14:textFill>
              </w:rPr>
              <w:t>1年</w:t>
            </w:r>
            <w:r>
              <w:rPr>
                <w:rFonts w:hint="eastAsia" w:asciiTheme="minorEastAsia" w:hAnsiTheme="minorEastAsia"/>
                <w:color w:val="000000" w:themeColor="text1"/>
                <w:szCs w:val="21"/>
                <w:lang w:val="en-US" w:eastAsia="zh-CN"/>
                <w14:textFill>
                  <w14:solidFill>
                    <w14:schemeClr w14:val="tx1"/>
                  </w14:solidFill>
                </w14:textFill>
              </w:rPr>
              <w:t>质保期</w:t>
            </w:r>
            <w:r>
              <w:rPr>
                <w:rFonts w:hint="eastAsia" w:asciiTheme="minorEastAsia" w:hAnsiTheme="minorEastAsia"/>
                <w:color w:val="000000" w:themeColor="text1"/>
                <w:szCs w:val="21"/>
                <w14:textFill>
                  <w14:solidFill>
                    <w14:schemeClr w14:val="tx1"/>
                  </w14:solidFill>
                </w14:textFill>
              </w:rPr>
              <w:t>，质保期免费更换</w:t>
            </w:r>
            <w:r>
              <w:rPr>
                <w:rFonts w:hint="eastAsia" w:asciiTheme="minorEastAsia" w:hAnsiTheme="minorEastAsia"/>
                <w:color w:val="000000" w:themeColor="text1"/>
                <w:szCs w:val="21"/>
                <w:lang w:val="en-US" w:eastAsia="zh-CN"/>
                <w14:textFill>
                  <w14:solidFill>
                    <w14:schemeClr w14:val="tx1"/>
                  </w14:solidFill>
                </w14:textFill>
              </w:rPr>
              <w:t>故障卡片</w:t>
            </w:r>
            <w:r>
              <w:rPr>
                <w:rFonts w:hint="eastAsia" w:asciiTheme="minorEastAsia" w:hAnsiTheme="minorEastAsia"/>
                <w:color w:val="000000" w:themeColor="text1"/>
                <w:szCs w:val="21"/>
                <w14:textFill>
                  <w14:solidFill>
                    <w14:schemeClr w14:val="tx1"/>
                  </w14:solidFill>
                </w14:textFill>
              </w:rPr>
              <w:t>。</w:t>
            </w:r>
            <w:r>
              <w:rPr>
                <w:rFonts w:hint="eastAsia" w:asciiTheme="minorEastAsia" w:hAnsiTheme="minorEastAsia"/>
                <w:color w:val="000000" w:themeColor="text1"/>
                <w:szCs w:val="21"/>
                <w:lang w:eastAsia="zh-CN"/>
                <w14:textFill>
                  <w14:solidFill>
                    <w14:schemeClr w14:val="tx1"/>
                  </w14:solidFill>
                </w14:textFill>
              </w:rPr>
              <w:t>服务地点：校园卡结算中心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1" w:hRule="atLeast"/>
          <w:jc w:val="center"/>
        </w:trPr>
        <w:tc>
          <w:tcPr>
            <w:tcW w:w="1813"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left"/>
              <w:rPr>
                <w:rFonts w:ascii="宋体" w:hAnsi="宋体" w:cs="宋体"/>
                <w:kern w:val="0"/>
                <w:szCs w:val="21"/>
              </w:rPr>
            </w:pPr>
            <w:r>
              <w:rPr>
                <w:rFonts w:hint="eastAsia" w:ascii="宋体" w:hAnsi="宋体" w:cs="宋体"/>
                <w:kern w:val="0"/>
                <w:szCs w:val="21"/>
                <w:highlight w:val="none"/>
              </w:rPr>
              <w:t>付款</w:t>
            </w:r>
            <w:r>
              <w:rPr>
                <w:rFonts w:hint="eastAsia" w:ascii="宋体" w:hAnsi="宋体"/>
                <w:szCs w:val="21"/>
                <w:highlight w:val="none"/>
              </w:rPr>
              <w:t>条件</w:t>
            </w:r>
          </w:p>
        </w:tc>
        <w:tc>
          <w:tcPr>
            <w:tcW w:w="7396" w:type="dxa"/>
            <w:gridSpan w:val="4"/>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left"/>
              <w:rPr>
                <w:rFonts w:ascii="宋体" w:hAnsi="宋体" w:cs="宋体"/>
                <w:kern w:val="0"/>
                <w:szCs w:val="21"/>
              </w:rPr>
            </w:pPr>
            <w:r>
              <w:rPr>
                <w:rFonts w:hint="eastAsia" w:asciiTheme="minorEastAsia" w:hAnsiTheme="minorEastAsia"/>
                <w:color w:val="000000" w:themeColor="text1"/>
                <w:szCs w:val="21"/>
                <w14:textFill>
                  <w14:solidFill>
                    <w14:schemeClr w14:val="tx1"/>
                  </w14:solidFill>
                </w14:textFill>
              </w:rPr>
              <w:t>一次性支付：本采购文件项下全部货物经最终验收合格后 15 个工作日内，采购人凭成交供应商开具的全额增值税普通发票向成交供应商支付全部合同价款。</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1" w:hRule="atLeast"/>
          <w:jc w:val="center"/>
        </w:trPr>
        <w:tc>
          <w:tcPr>
            <w:tcW w:w="9209" w:type="dxa"/>
            <w:gridSpan w:val="6"/>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left"/>
              <w:rPr>
                <w:rFonts w:ascii="宋体" w:hAnsi="宋体" w:cs="宋体"/>
                <w:kern w:val="0"/>
                <w:szCs w:val="21"/>
              </w:rPr>
            </w:pPr>
            <w:r>
              <w:rPr>
                <w:rFonts w:hint="eastAsia" w:ascii="宋体" w:hAnsi="宋体" w:cs="TimesNewRomanPSMT"/>
                <w:b/>
                <w:kern w:val="0"/>
                <w:szCs w:val="21"/>
              </w:rPr>
              <w:t>三、</w:t>
            </w:r>
            <w:r>
              <w:rPr>
                <w:rFonts w:hint="eastAsia" w:ascii="宋体" w:hAnsi="宋体" w:cs="TimesNewRomanPSMT"/>
                <w:b/>
                <w:kern w:val="0"/>
                <w:szCs w:val="21"/>
                <w:highlight w:val="none"/>
              </w:rPr>
              <w:t>其他要求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3" w:hRule="atLeast"/>
          <w:jc w:val="center"/>
        </w:trPr>
        <w:tc>
          <w:tcPr>
            <w:tcW w:w="1813"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left"/>
              <w:rPr>
                <w:rFonts w:ascii="宋体" w:hAnsi="宋体" w:cs="TimesNewRomanPSMT"/>
                <w:kern w:val="0"/>
                <w:szCs w:val="21"/>
              </w:rPr>
            </w:pPr>
          </w:p>
        </w:tc>
        <w:tc>
          <w:tcPr>
            <w:tcW w:w="7396" w:type="dxa"/>
            <w:gridSpan w:val="4"/>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1、本采购文件项下的货物在交货、验收及质保期等任何阶段内不符合合同约定的技术规范要求和验收标准的，采购人有权向成交供应商索赔并选择下列一项或多项补救措施：</w:t>
            </w:r>
          </w:p>
          <w:p>
            <w:pPr>
              <w:rPr>
                <w:rFonts w:hint="eastAsia"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（1）由成交供应商采取措施消除设备缺陷或不符合合同之处，如果成交供应商不能及时消除缺陷，采购人有权自行消除缺陷或不符合合同之处，由此产生的一切费用均由成交供应商承担。</w:t>
            </w:r>
          </w:p>
          <w:p>
            <w:pPr>
              <w:rPr>
                <w:rFonts w:hint="eastAsia"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（2）由成交供应商在接到采购人通知后 10 日内用符合合同规定的规格、质量和性能要求的新零件、部件和设备更换有缺陷的设备或用新的技术资料替换有错误的技术资料或补供遗漏的设备或技术资料等，成交供应商应承担一切费用和风险并负担给采购人造成的全部损失。</w:t>
            </w:r>
          </w:p>
          <w:p>
            <w:pPr>
              <w:rPr>
                <w:rFonts w:hint="eastAsia"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（3）根据货物的低劣程度、损坏程度以及采购人所遭受损失的数额，成交供应商必须降低货物的价格。</w:t>
            </w:r>
          </w:p>
          <w:p>
            <w:pPr>
              <w:rPr>
                <w:rFonts w:hint="eastAsia"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（4）退货，成交供应商应退还采购人支付的全部合同款，同时应承担该货物的直接费用（运输、保险、检验、货款利息及银行手续费等）。</w:t>
            </w:r>
          </w:p>
          <w:p>
            <w:pPr>
              <w:rPr>
                <w:rFonts w:hint="eastAsia"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2、成交供应商逾期交付货物的，每逾期一日，应按逾期交货总额 3 ‰向采购人支付违约金。逾期超过约定日期 17 个工作日不能交货的，采购人有权解除本合同，并要求成交供应商支付合同总额 20 %的违约金。</w:t>
            </w:r>
          </w:p>
          <w:p>
            <w:pPr>
              <w:rPr>
                <w:rFonts w:hint="eastAsia"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3、成交供应商所交付的货物品种、型号、规格、技术参数、质量不符合合同规定及反向竞价文件规定标准的，采购人有权拒收该货物，成交供应商愿意更换货物但逾期交货的，按成交供应商逾期交货处理。成交供应商拒绝更换货物的，采购人可单方面解除合同，并要求成交供应商支付合同总值 20 %的违约金，违约金不足以弥补采购人损失的，成交供应商还应负责赔偿。</w:t>
            </w:r>
          </w:p>
          <w:p>
            <w:pPr>
              <w:rPr>
                <w:rFonts w:hint="eastAsia"/>
                <w:sz w:val="18"/>
                <w:szCs w:val="18"/>
                <w:lang w:val="en-US" w:eastAsia="zh-CN"/>
              </w:rPr>
            </w:pPr>
            <w:r>
              <w:rPr>
                <w:rFonts w:hint="eastAsia" w:asciiTheme="minorEastAsia" w:hAnsiTheme="minorEastAsia"/>
                <w:color w:val="000000" w:themeColor="text1"/>
                <w:sz w:val="18"/>
                <w:szCs w:val="18"/>
                <w14:textFill>
                  <w14:solidFill>
                    <w14:schemeClr w14:val="tx1"/>
                  </w14:solidFill>
                </w14:textFill>
              </w:rPr>
              <w:t>4、成交供应商未能按约定要求履行保修义务的，每发生一次应向采购人支付合同金额的5%违约金，同时，采购人有权委托第三方进行保修，所产生的费用由成交供应商承担。若因货物缺陷或成交供应商服务质量等问题造成采购人或任何人员人身、财产损害的，成交供应商应承担有关责任并作出相应赔偿。</w:t>
            </w:r>
          </w:p>
        </w:tc>
      </w:tr>
    </w:tbl>
    <w:p>
      <w:pPr>
        <w:pStyle w:val="9"/>
        <w:widowControl/>
        <w:spacing w:after="452" w:line="555" w:lineRule="atLeast"/>
        <w:rPr>
          <w:rStyle w:val="14"/>
          <w:rFonts w:ascii="黑体" w:hAnsi="宋体" w:eastAsia="黑体" w:cs="黑体"/>
          <w:color w:val="333333"/>
          <w:sz w:val="28"/>
          <w:szCs w:val="28"/>
          <w:shd w:val="clear" w:color="auto" w:fill="FFFFFF"/>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imesNewRomanPSMT">
    <w:altName w:val="Times New Roman"/>
    <w:panose1 w:val="000000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84099594"/>
    </w:sdtPr>
    <w:sdtContent>
      <w:sdt>
        <w:sdtPr>
          <w:id w:val="171357217"/>
        </w:sdtPr>
        <w:sdtContent>
          <w:p>
            <w:pPr>
              <w:pStyle w:val="7"/>
              <w:jc w:val="center"/>
            </w:pPr>
            <w:r>
              <w:rPr>
                <w:b/>
                <w:sz w:val="24"/>
                <w:szCs w:val="24"/>
              </w:rPr>
              <w:fldChar w:fldCharType="begin"/>
            </w:r>
            <w:r>
              <w:rPr>
                <w:b/>
              </w:rPr>
              <w:instrText xml:space="preserve">PAGE</w:instrText>
            </w:r>
            <w:r>
              <w:rPr>
                <w:b/>
                <w:sz w:val="24"/>
                <w:szCs w:val="24"/>
              </w:rPr>
              <w:fldChar w:fldCharType="separate"/>
            </w:r>
            <w:r>
              <w:rPr>
                <w:b/>
              </w:rPr>
              <w:t>2</w:t>
            </w:r>
            <w:r>
              <w:rPr>
                <w:b/>
                <w:sz w:val="24"/>
                <w:szCs w:val="24"/>
              </w:rPr>
              <w:fldChar w:fldCharType="end"/>
            </w:r>
          </w:p>
        </w:sdtContent>
      </w:sdt>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VlODEzZjEyZjcyZjA1Nzk5NGQxZDZiMzQwNzZhYjUifQ=="/>
  </w:docVars>
  <w:rsids>
    <w:rsidRoot w:val="52D653D6"/>
    <w:rsid w:val="00002994"/>
    <w:rsid w:val="000102D3"/>
    <w:rsid w:val="0001736C"/>
    <w:rsid w:val="00021BD6"/>
    <w:rsid w:val="000408C1"/>
    <w:rsid w:val="00047C0E"/>
    <w:rsid w:val="00056B5E"/>
    <w:rsid w:val="000808B9"/>
    <w:rsid w:val="00082409"/>
    <w:rsid w:val="00082EF6"/>
    <w:rsid w:val="00087E6F"/>
    <w:rsid w:val="00092BBF"/>
    <w:rsid w:val="000953D5"/>
    <w:rsid w:val="000A3D19"/>
    <w:rsid w:val="000A5D39"/>
    <w:rsid w:val="000C4E31"/>
    <w:rsid w:val="000E64E3"/>
    <w:rsid w:val="0010348A"/>
    <w:rsid w:val="00110A81"/>
    <w:rsid w:val="00127AFC"/>
    <w:rsid w:val="00133620"/>
    <w:rsid w:val="00150216"/>
    <w:rsid w:val="00156346"/>
    <w:rsid w:val="0017414C"/>
    <w:rsid w:val="001B37D8"/>
    <w:rsid w:val="001C0A0B"/>
    <w:rsid w:val="001C5E3E"/>
    <w:rsid w:val="001D0CC4"/>
    <w:rsid w:val="001D3CF7"/>
    <w:rsid w:val="001D40D9"/>
    <w:rsid w:val="001F1305"/>
    <w:rsid w:val="00204020"/>
    <w:rsid w:val="002310AC"/>
    <w:rsid w:val="00232C58"/>
    <w:rsid w:val="00253977"/>
    <w:rsid w:val="002562E1"/>
    <w:rsid w:val="00266758"/>
    <w:rsid w:val="0027639E"/>
    <w:rsid w:val="002A648D"/>
    <w:rsid w:val="002C48D1"/>
    <w:rsid w:val="00312577"/>
    <w:rsid w:val="00351A5E"/>
    <w:rsid w:val="003D1DCB"/>
    <w:rsid w:val="003D7CA4"/>
    <w:rsid w:val="00401437"/>
    <w:rsid w:val="004071AF"/>
    <w:rsid w:val="0040787D"/>
    <w:rsid w:val="004167FA"/>
    <w:rsid w:val="00431E0E"/>
    <w:rsid w:val="00435453"/>
    <w:rsid w:val="00474A3B"/>
    <w:rsid w:val="0048288D"/>
    <w:rsid w:val="0048565F"/>
    <w:rsid w:val="004D446A"/>
    <w:rsid w:val="004D6593"/>
    <w:rsid w:val="004E3B7E"/>
    <w:rsid w:val="004E5F3B"/>
    <w:rsid w:val="005166BE"/>
    <w:rsid w:val="0052249A"/>
    <w:rsid w:val="00547DDF"/>
    <w:rsid w:val="0055287B"/>
    <w:rsid w:val="005650B2"/>
    <w:rsid w:val="005C6D2A"/>
    <w:rsid w:val="005E1921"/>
    <w:rsid w:val="005E4818"/>
    <w:rsid w:val="005E4C14"/>
    <w:rsid w:val="005E4ECB"/>
    <w:rsid w:val="00603052"/>
    <w:rsid w:val="006128DF"/>
    <w:rsid w:val="00624C0D"/>
    <w:rsid w:val="00651D11"/>
    <w:rsid w:val="00660F53"/>
    <w:rsid w:val="00681F69"/>
    <w:rsid w:val="006A4493"/>
    <w:rsid w:val="006C62A8"/>
    <w:rsid w:val="006D028E"/>
    <w:rsid w:val="006D1F21"/>
    <w:rsid w:val="006E0179"/>
    <w:rsid w:val="006E297E"/>
    <w:rsid w:val="006E3CF1"/>
    <w:rsid w:val="006E6C19"/>
    <w:rsid w:val="00710C8F"/>
    <w:rsid w:val="007270EA"/>
    <w:rsid w:val="00733E15"/>
    <w:rsid w:val="0075181E"/>
    <w:rsid w:val="007828C7"/>
    <w:rsid w:val="007942C7"/>
    <w:rsid w:val="007A4C72"/>
    <w:rsid w:val="007B21E3"/>
    <w:rsid w:val="007B4626"/>
    <w:rsid w:val="007C5205"/>
    <w:rsid w:val="00801CC6"/>
    <w:rsid w:val="0080519D"/>
    <w:rsid w:val="00830BFD"/>
    <w:rsid w:val="00835CD1"/>
    <w:rsid w:val="00853064"/>
    <w:rsid w:val="00857045"/>
    <w:rsid w:val="00871030"/>
    <w:rsid w:val="008B090F"/>
    <w:rsid w:val="008D14DD"/>
    <w:rsid w:val="008D28D6"/>
    <w:rsid w:val="008E356A"/>
    <w:rsid w:val="008E6872"/>
    <w:rsid w:val="008F2BB9"/>
    <w:rsid w:val="00921188"/>
    <w:rsid w:val="009254E6"/>
    <w:rsid w:val="00933947"/>
    <w:rsid w:val="00954DF6"/>
    <w:rsid w:val="00973544"/>
    <w:rsid w:val="00976B0B"/>
    <w:rsid w:val="00980C1A"/>
    <w:rsid w:val="00991123"/>
    <w:rsid w:val="009A0E5A"/>
    <w:rsid w:val="009A4990"/>
    <w:rsid w:val="009E24CA"/>
    <w:rsid w:val="009E40CD"/>
    <w:rsid w:val="009E469C"/>
    <w:rsid w:val="00A173CF"/>
    <w:rsid w:val="00A25973"/>
    <w:rsid w:val="00A82D07"/>
    <w:rsid w:val="00A86CD0"/>
    <w:rsid w:val="00A91344"/>
    <w:rsid w:val="00AC4CAC"/>
    <w:rsid w:val="00AC7DAE"/>
    <w:rsid w:val="00B07709"/>
    <w:rsid w:val="00B11EDA"/>
    <w:rsid w:val="00B12D00"/>
    <w:rsid w:val="00B17646"/>
    <w:rsid w:val="00B25E09"/>
    <w:rsid w:val="00B81F9C"/>
    <w:rsid w:val="00B86469"/>
    <w:rsid w:val="00B95E1D"/>
    <w:rsid w:val="00B96A3E"/>
    <w:rsid w:val="00BB058F"/>
    <w:rsid w:val="00BB208F"/>
    <w:rsid w:val="00BD4895"/>
    <w:rsid w:val="00BD6001"/>
    <w:rsid w:val="00BE601F"/>
    <w:rsid w:val="00BF406C"/>
    <w:rsid w:val="00BF531C"/>
    <w:rsid w:val="00C14009"/>
    <w:rsid w:val="00C30E63"/>
    <w:rsid w:val="00C671A9"/>
    <w:rsid w:val="00C75936"/>
    <w:rsid w:val="00C81107"/>
    <w:rsid w:val="00C92655"/>
    <w:rsid w:val="00CB26C2"/>
    <w:rsid w:val="00CE11B5"/>
    <w:rsid w:val="00CF4136"/>
    <w:rsid w:val="00CF77EF"/>
    <w:rsid w:val="00D13A3C"/>
    <w:rsid w:val="00D20611"/>
    <w:rsid w:val="00D24B5D"/>
    <w:rsid w:val="00D36B28"/>
    <w:rsid w:val="00D44D05"/>
    <w:rsid w:val="00D457A7"/>
    <w:rsid w:val="00D71E77"/>
    <w:rsid w:val="00D84986"/>
    <w:rsid w:val="00D9050C"/>
    <w:rsid w:val="00DC72FA"/>
    <w:rsid w:val="00DE3942"/>
    <w:rsid w:val="00DE62C0"/>
    <w:rsid w:val="00DF3090"/>
    <w:rsid w:val="00DF3C24"/>
    <w:rsid w:val="00E0409A"/>
    <w:rsid w:val="00E11FB9"/>
    <w:rsid w:val="00E12ED2"/>
    <w:rsid w:val="00E25AAB"/>
    <w:rsid w:val="00E44071"/>
    <w:rsid w:val="00E4439D"/>
    <w:rsid w:val="00E72E28"/>
    <w:rsid w:val="00EB7ADE"/>
    <w:rsid w:val="00EC277A"/>
    <w:rsid w:val="00EE293F"/>
    <w:rsid w:val="00EE355B"/>
    <w:rsid w:val="00EE6160"/>
    <w:rsid w:val="00EF299F"/>
    <w:rsid w:val="00EF6487"/>
    <w:rsid w:val="00F20CDC"/>
    <w:rsid w:val="00F25E3C"/>
    <w:rsid w:val="00F26972"/>
    <w:rsid w:val="00F330CB"/>
    <w:rsid w:val="00F348C2"/>
    <w:rsid w:val="00F5062C"/>
    <w:rsid w:val="00F56375"/>
    <w:rsid w:val="00F73016"/>
    <w:rsid w:val="00F92D4B"/>
    <w:rsid w:val="00F94F4A"/>
    <w:rsid w:val="00FB02B1"/>
    <w:rsid w:val="00FB3DFA"/>
    <w:rsid w:val="00FD620A"/>
    <w:rsid w:val="0163247B"/>
    <w:rsid w:val="023C70D1"/>
    <w:rsid w:val="09287D76"/>
    <w:rsid w:val="09E37FB3"/>
    <w:rsid w:val="0A0F5BB5"/>
    <w:rsid w:val="0C93343B"/>
    <w:rsid w:val="0E6F05D1"/>
    <w:rsid w:val="0F074FAA"/>
    <w:rsid w:val="15333719"/>
    <w:rsid w:val="157A4E35"/>
    <w:rsid w:val="15A6480D"/>
    <w:rsid w:val="1608351E"/>
    <w:rsid w:val="17A151E4"/>
    <w:rsid w:val="19771562"/>
    <w:rsid w:val="1DF613D3"/>
    <w:rsid w:val="20A0716E"/>
    <w:rsid w:val="21E9568B"/>
    <w:rsid w:val="26A022EB"/>
    <w:rsid w:val="278E005D"/>
    <w:rsid w:val="288B42E2"/>
    <w:rsid w:val="2FEC2936"/>
    <w:rsid w:val="30175C86"/>
    <w:rsid w:val="3038292B"/>
    <w:rsid w:val="33F53549"/>
    <w:rsid w:val="34BF02FC"/>
    <w:rsid w:val="38290730"/>
    <w:rsid w:val="3BDC4EF4"/>
    <w:rsid w:val="41842ED7"/>
    <w:rsid w:val="41E80EEB"/>
    <w:rsid w:val="44E060C2"/>
    <w:rsid w:val="4708796F"/>
    <w:rsid w:val="47283916"/>
    <w:rsid w:val="4A8C26DF"/>
    <w:rsid w:val="4C785019"/>
    <w:rsid w:val="4D3117FF"/>
    <w:rsid w:val="4F1638C7"/>
    <w:rsid w:val="508F329F"/>
    <w:rsid w:val="52264F17"/>
    <w:rsid w:val="527B4618"/>
    <w:rsid w:val="52B813CD"/>
    <w:rsid w:val="52D653D6"/>
    <w:rsid w:val="58E50BA2"/>
    <w:rsid w:val="598B674F"/>
    <w:rsid w:val="5B8E2CD1"/>
    <w:rsid w:val="5D5E44AA"/>
    <w:rsid w:val="628F7431"/>
    <w:rsid w:val="67D866A0"/>
    <w:rsid w:val="6C28527F"/>
    <w:rsid w:val="6D6123F1"/>
    <w:rsid w:val="7357203A"/>
    <w:rsid w:val="75352A78"/>
    <w:rsid w:val="7835786E"/>
    <w:rsid w:val="7C2B051C"/>
    <w:rsid w:val="7C775775"/>
    <w:rsid w:val="7CDA58DC"/>
    <w:rsid w:val="7F8D211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iPriority="0" w:semiHidden="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99" w:semiHidden="0" w:name="Normal (Web)"/>
    <w:lsdException w:qFormat="1" w:unhideWhenUsed="0" w:uiPriority="0" w:semiHidden="0" w:name="HTML Acronym"/>
    <w:lsdException w:uiPriority="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iPriority="0" w:name="HTML Keyboard"/>
    <w:lsdException w:uiPriority="0" w:name="HTML Preformatted"/>
    <w:lsdException w:uiPriority="0" w:name="HTML Sample"/>
    <w:lsdException w:uiPriority="0" w:name="HTML Typewriter"/>
    <w:lsdException w:qFormat="1" w:unhideWhenUsed="0" w:uiPriority="0" w:semiHidden="0" w:name="HTML Variable"/>
    <w:lsdException w:qFormat="1" w:uiPriority="99" w:semiHidden="0" w:name="Normal Table"/>
    <w:lsdException w:qFormat="1"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autoRedefine/>
    <w:unhideWhenUsed/>
    <w:qFormat/>
    <w:uiPriority w:val="0"/>
    <w:pPr>
      <w:jc w:val="left"/>
      <w:outlineLvl w:val="1"/>
    </w:pPr>
    <w:rPr>
      <w:rFonts w:hint="eastAsia" w:ascii="宋体" w:hAnsi="宋体" w:eastAsia="宋体" w:cs="Times New Roman"/>
      <w:kern w:val="0"/>
      <w:sz w:val="24"/>
    </w:rPr>
  </w:style>
  <w:style w:type="paragraph" w:styleId="3">
    <w:name w:val="heading 4"/>
    <w:basedOn w:val="1"/>
    <w:next w:val="1"/>
    <w:autoRedefine/>
    <w:unhideWhenUsed/>
    <w:qFormat/>
    <w:uiPriority w:val="0"/>
    <w:pPr>
      <w:jc w:val="left"/>
      <w:outlineLvl w:val="3"/>
    </w:pPr>
    <w:rPr>
      <w:rFonts w:hint="eastAsia" w:ascii="宋体" w:hAnsi="宋体" w:eastAsia="宋体" w:cs="Times New Roman"/>
      <w:kern w:val="0"/>
      <w:sz w:val="24"/>
    </w:rPr>
  </w:style>
  <w:style w:type="character" w:default="1" w:styleId="13">
    <w:name w:val="Default Paragraph Font"/>
    <w:autoRedefine/>
    <w:unhideWhenUsed/>
    <w:qFormat/>
    <w:uiPriority w:val="1"/>
  </w:style>
  <w:style w:type="table" w:default="1" w:styleId="11">
    <w:name w:val="Normal Table"/>
    <w:autoRedefine/>
    <w:unhideWhenUsed/>
    <w:qFormat/>
    <w:uiPriority w:val="99"/>
    <w:tblPr>
      <w:tblCellMar>
        <w:top w:w="0" w:type="dxa"/>
        <w:left w:w="108" w:type="dxa"/>
        <w:bottom w:w="0" w:type="dxa"/>
        <w:right w:w="108" w:type="dxa"/>
      </w:tblCellMar>
    </w:tblPr>
  </w:style>
  <w:style w:type="paragraph" w:styleId="4">
    <w:name w:val="annotation text"/>
    <w:basedOn w:val="1"/>
    <w:link w:val="34"/>
    <w:autoRedefine/>
    <w:unhideWhenUsed/>
    <w:qFormat/>
    <w:uiPriority w:val="0"/>
    <w:pPr>
      <w:jc w:val="left"/>
    </w:pPr>
  </w:style>
  <w:style w:type="paragraph" w:styleId="5">
    <w:name w:val="Plain Text"/>
    <w:basedOn w:val="1"/>
    <w:link w:val="31"/>
    <w:autoRedefine/>
    <w:qFormat/>
    <w:uiPriority w:val="0"/>
    <w:rPr>
      <w:rFonts w:ascii="宋体" w:hAnsi="Courier New" w:eastAsia="宋体" w:cs="Courier New"/>
      <w:kern w:val="0"/>
      <w:sz w:val="20"/>
      <w:szCs w:val="21"/>
    </w:rPr>
  </w:style>
  <w:style w:type="paragraph" w:styleId="6">
    <w:name w:val="Balloon Text"/>
    <w:basedOn w:val="1"/>
    <w:link w:val="36"/>
    <w:autoRedefine/>
    <w:unhideWhenUsed/>
    <w:qFormat/>
    <w:uiPriority w:val="0"/>
    <w:rPr>
      <w:sz w:val="18"/>
      <w:szCs w:val="18"/>
    </w:rPr>
  </w:style>
  <w:style w:type="paragraph" w:styleId="7">
    <w:name w:val="footer"/>
    <w:basedOn w:val="1"/>
    <w:link w:val="29"/>
    <w:autoRedefine/>
    <w:qFormat/>
    <w:uiPriority w:val="99"/>
    <w:pPr>
      <w:tabs>
        <w:tab w:val="center" w:pos="4153"/>
        <w:tab w:val="right" w:pos="8306"/>
      </w:tabs>
      <w:snapToGrid w:val="0"/>
      <w:jc w:val="left"/>
    </w:pPr>
    <w:rPr>
      <w:sz w:val="18"/>
      <w:szCs w:val="18"/>
    </w:rPr>
  </w:style>
  <w:style w:type="paragraph" w:styleId="8">
    <w:name w:val="header"/>
    <w:basedOn w:val="1"/>
    <w:link w:val="28"/>
    <w:autoRedefine/>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autoRedefine/>
    <w:qFormat/>
    <w:uiPriority w:val="99"/>
    <w:pPr>
      <w:jc w:val="left"/>
    </w:pPr>
    <w:rPr>
      <w:rFonts w:cs="Times New Roman"/>
      <w:kern w:val="0"/>
      <w:sz w:val="24"/>
    </w:rPr>
  </w:style>
  <w:style w:type="paragraph" w:styleId="10">
    <w:name w:val="annotation subject"/>
    <w:basedOn w:val="4"/>
    <w:next w:val="4"/>
    <w:link w:val="35"/>
    <w:autoRedefine/>
    <w:unhideWhenUsed/>
    <w:qFormat/>
    <w:uiPriority w:val="0"/>
    <w:rPr>
      <w:b/>
      <w:bCs/>
    </w:rPr>
  </w:style>
  <w:style w:type="table" w:styleId="12">
    <w:name w:val="Table Grid"/>
    <w:basedOn w:val="11"/>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Strong"/>
    <w:basedOn w:val="13"/>
    <w:autoRedefine/>
    <w:qFormat/>
    <w:uiPriority w:val="0"/>
    <w:rPr>
      <w:b/>
    </w:rPr>
  </w:style>
  <w:style w:type="character" w:styleId="15">
    <w:name w:val="FollowedHyperlink"/>
    <w:basedOn w:val="13"/>
    <w:autoRedefine/>
    <w:qFormat/>
    <w:uiPriority w:val="0"/>
    <w:rPr>
      <w:color w:val="333333"/>
      <w:u w:val="none"/>
    </w:rPr>
  </w:style>
  <w:style w:type="character" w:styleId="16">
    <w:name w:val="Emphasis"/>
    <w:basedOn w:val="13"/>
    <w:autoRedefine/>
    <w:qFormat/>
    <w:uiPriority w:val="0"/>
  </w:style>
  <w:style w:type="character" w:styleId="17">
    <w:name w:val="HTML Definition"/>
    <w:basedOn w:val="13"/>
    <w:autoRedefine/>
    <w:qFormat/>
    <w:uiPriority w:val="0"/>
  </w:style>
  <w:style w:type="character" w:styleId="18">
    <w:name w:val="HTML Acronym"/>
    <w:basedOn w:val="13"/>
    <w:autoRedefine/>
    <w:qFormat/>
    <w:uiPriority w:val="0"/>
  </w:style>
  <w:style w:type="character" w:styleId="19">
    <w:name w:val="HTML Variable"/>
    <w:basedOn w:val="13"/>
    <w:autoRedefine/>
    <w:qFormat/>
    <w:uiPriority w:val="0"/>
  </w:style>
  <w:style w:type="character" w:styleId="20">
    <w:name w:val="Hyperlink"/>
    <w:basedOn w:val="13"/>
    <w:autoRedefine/>
    <w:qFormat/>
    <w:uiPriority w:val="0"/>
    <w:rPr>
      <w:color w:val="333333"/>
      <w:u w:val="none"/>
    </w:rPr>
  </w:style>
  <w:style w:type="character" w:styleId="21">
    <w:name w:val="HTML Code"/>
    <w:basedOn w:val="13"/>
    <w:autoRedefine/>
    <w:qFormat/>
    <w:uiPriority w:val="0"/>
    <w:rPr>
      <w:rFonts w:ascii="Courier New" w:hAnsi="Courier New"/>
      <w:sz w:val="20"/>
    </w:rPr>
  </w:style>
  <w:style w:type="character" w:styleId="22">
    <w:name w:val="annotation reference"/>
    <w:basedOn w:val="13"/>
    <w:autoRedefine/>
    <w:unhideWhenUsed/>
    <w:qFormat/>
    <w:uiPriority w:val="0"/>
    <w:rPr>
      <w:sz w:val="21"/>
      <w:szCs w:val="21"/>
    </w:rPr>
  </w:style>
  <w:style w:type="character" w:styleId="23">
    <w:name w:val="HTML Cite"/>
    <w:basedOn w:val="13"/>
    <w:autoRedefine/>
    <w:qFormat/>
    <w:uiPriority w:val="0"/>
  </w:style>
  <w:style w:type="character" w:customStyle="1" w:styleId="24">
    <w:name w:val="current"/>
    <w:basedOn w:val="13"/>
    <w:autoRedefine/>
    <w:qFormat/>
    <w:uiPriority w:val="0"/>
    <w:rPr>
      <w:b/>
      <w:bCs/>
      <w:color w:val="FFFFFF"/>
      <w:bdr w:val="single" w:color="7D6543" w:sz="6" w:space="0"/>
      <w:shd w:val="clear" w:color="auto" w:fill="7D6543"/>
    </w:rPr>
  </w:style>
  <w:style w:type="character" w:customStyle="1" w:styleId="25">
    <w:name w:val="disabled"/>
    <w:basedOn w:val="13"/>
    <w:autoRedefine/>
    <w:qFormat/>
    <w:uiPriority w:val="0"/>
    <w:rPr>
      <w:color w:val="999999"/>
      <w:bdr w:val="single" w:color="C5C5C5" w:sz="6" w:space="0"/>
    </w:rPr>
  </w:style>
  <w:style w:type="character" w:customStyle="1" w:styleId="26">
    <w:name w:val="font11"/>
    <w:basedOn w:val="13"/>
    <w:qFormat/>
    <w:uiPriority w:val="0"/>
    <w:rPr>
      <w:rFonts w:hint="eastAsia" w:ascii="宋体" w:hAnsi="宋体" w:eastAsia="宋体" w:cs="宋体"/>
      <w:color w:val="000000"/>
      <w:sz w:val="24"/>
      <w:szCs w:val="24"/>
      <w:u w:val="none"/>
    </w:rPr>
  </w:style>
  <w:style w:type="character" w:customStyle="1" w:styleId="27">
    <w:name w:val="font31"/>
    <w:basedOn w:val="13"/>
    <w:autoRedefine/>
    <w:qFormat/>
    <w:uiPriority w:val="0"/>
    <w:rPr>
      <w:rFonts w:hint="eastAsia" w:ascii="宋体" w:hAnsi="宋体" w:eastAsia="宋体" w:cs="宋体"/>
      <w:color w:val="000000"/>
      <w:sz w:val="24"/>
      <w:szCs w:val="24"/>
      <w:u w:val="none"/>
    </w:rPr>
  </w:style>
  <w:style w:type="character" w:customStyle="1" w:styleId="28">
    <w:name w:val="页眉 Char"/>
    <w:basedOn w:val="13"/>
    <w:link w:val="8"/>
    <w:autoRedefine/>
    <w:qFormat/>
    <w:uiPriority w:val="99"/>
    <w:rPr>
      <w:rFonts w:asciiTheme="minorHAnsi" w:hAnsiTheme="minorHAnsi" w:eastAsiaTheme="minorEastAsia" w:cstheme="minorBidi"/>
      <w:kern w:val="2"/>
      <w:sz w:val="18"/>
      <w:szCs w:val="18"/>
    </w:rPr>
  </w:style>
  <w:style w:type="character" w:customStyle="1" w:styleId="29">
    <w:name w:val="页脚 Char"/>
    <w:basedOn w:val="13"/>
    <w:link w:val="7"/>
    <w:autoRedefine/>
    <w:qFormat/>
    <w:uiPriority w:val="99"/>
    <w:rPr>
      <w:rFonts w:asciiTheme="minorHAnsi" w:hAnsiTheme="minorHAnsi" w:eastAsiaTheme="minorEastAsia" w:cstheme="minorBidi"/>
      <w:kern w:val="2"/>
      <w:sz w:val="18"/>
      <w:szCs w:val="18"/>
    </w:rPr>
  </w:style>
  <w:style w:type="paragraph" w:customStyle="1" w:styleId="30">
    <w:name w:val="List Paragraph"/>
    <w:basedOn w:val="1"/>
    <w:autoRedefine/>
    <w:unhideWhenUsed/>
    <w:qFormat/>
    <w:uiPriority w:val="99"/>
    <w:pPr>
      <w:ind w:firstLine="420" w:firstLineChars="200"/>
    </w:pPr>
  </w:style>
  <w:style w:type="character" w:customStyle="1" w:styleId="31">
    <w:name w:val="纯文本 Char"/>
    <w:basedOn w:val="13"/>
    <w:link w:val="5"/>
    <w:autoRedefine/>
    <w:qFormat/>
    <w:uiPriority w:val="0"/>
    <w:rPr>
      <w:rFonts w:ascii="宋体" w:hAnsi="Courier New" w:cs="Courier New"/>
      <w:szCs w:val="21"/>
    </w:rPr>
  </w:style>
  <w:style w:type="paragraph" w:customStyle="1" w:styleId="32">
    <w:name w:val="No Spacing"/>
    <w:link w:val="33"/>
    <w:autoRedefine/>
    <w:qFormat/>
    <w:uiPriority w:val="1"/>
    <w:rPr>
      <w:rFonts w:asciiTheme="minorHAnsi" w:hAnsiTheme="minorHAnsi" w:eastAsiaTheme="minorEastAsia" w:cstheme="minorBidi"/>
      <w:sz w:val="22"/>
      <w:szCs w:val="22"/>
      <w:lang w:val="en-US" w:eastAsia="zh-CN" w:bidi="ar-SA"/>
    </w:rPr>
  </w:style>
  <w:style w:type="character" w:customStyle="1" w:styleId="33">
    <w:name w:val="无间隔 Char"/>
    <w:basedOn w:val="13"/>
    <w:link w:val="32"/>
    <w:autoRedefine/>
    <w:qFormat/>
    <w:uiPriority w:val="1"/>
    <w:rPr>
      <w:rFonts w:asciiTheme="minorHAnsi" w:hAnsiTheme="minorHAnsi" w:eastAsiaTheme="minorEastAsia" w:cstheme="minorBidi"/>
      <w:sz w:val="22"/>
      <w:szCs w:val="22"/>
    </w:rPr>
  </w:style>
  <w:style w:type="character" w:customStyle="1" w:styleId="34">
    <w:name w:val="批注文字 Char"/>
    <w:basedOn w:val="13"/>
    <w:link w:val="4"/>
    <w:semiHidden/>
    <w:qFormat/>
    <w:uiPriority w:val="0"/>
    <w:rPr>
      <w:rFonts w:asciiTheme="minorHAnsi" w:hAnsiTheme="minorHAnsi" w:eastAsiaTheme="minorEastAsia" w:cstheme="minorBidi"/>
      <w:kern w:val="2"/>
      <w:sz w:val="21"/>
      <w:szCs w:val="24"/>
    </w:rPr>
  </w:style>
  <w:style w:type="character" w:customStyle="1" w:styleId="35">
    <w:name w:val="批注主题 Char"/>
    <w:basedOn w:val="34"/>
    <w:link w:val="10"/>
    <w:autoRedefine/>
    <w:semiHidden/>
    <w:qFormat/>
    <w:uiPriority w:val="0"/>
    <w:rPr>
      <w:rFonts w:asciiTheme="minorHAnsi" w:hAnsiTheme="minorHAnsi" w:eastAsiaTheme="minorEastAsia" w:cstheme="minorBidi"/>
      <w:b/>
      <w:bCs/>
      <w:kern w:val="2"/>
      <w:sz w:val="21"/>
      <w:szCs w:val="24"/>
    </w:rPr>
  </w:style>
  <w:style w:type="character" w:customStyle="1" w:styleId="36">
    <w:name w:val="批注框文本 Char"/>
    <w:basedOn w:val="13"/>
    <w:link w:val="6"/>
    <w:autoRedefine/>
    <w:semiHidden/>
    <w:qFormat/>
    <w:uiPriority w:val="0"/>
    <w:rPr>
      <w:rFonts w:asciiTheme="minorHAnsi" w:hAnsiTheme="minorHAnsi" w:eastAsiaTheme="minorEastAsia" w:cstheme="minorBidi"/>
      <w:kern w:val="2"/>
      <w:sz w:val="18"/>
      <w:szCs w:val="18"/>
    </w:rPr>
  </w:style>
  <w:style w:type="paragraph" w:customStyle="1" w:styleId="37">
    <w:name w:val="列出段落1"/>
    <w:basedOn w:val="1"/>
    <w:autoRedefine/>
    <w:qFormat/>
    <w:uiPriority w:val="34"/>
    <w:pPr>
      <w:ind w:firstLine="420" w:firstLineChars="200"/>
    </w:pPr>
    <w:rPr>
      <w:rFonts w:ascii="Times New Roman" w:hAnsi="Times New Roman" w:eastAsia="宋体" w:cs="Times New Roman"/>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E51C58-2E0D-40A0-A8ED-C01B338F4D4F}">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Pages>
  <Words>1360</Words>
  <Characters>1447</Characters>
  <Lines>9</Lines>
  <Paragraphs>2</Paragraphs>
  <TotalTime>1</TotalTime>
  <ScaleCrop>false</ScaleCrop>
  <LinksUpToDate>false</LinksUpToDate>
  <CharactersWithSpaces>1480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2022-01-12T07:29:00Z</dcterms:created>
  <dc:creator>Administrator</dc:creator>
  <cp:lastModifiedBy>Administrator</cp:lastModifiedBy>
  <cp:lastPrinted>2024-04-23T02:12:00Z</cp:lastPrinted>
  <dcterms:modified xsi:type="dcterms:W3CDTF">2024-04-23T03:02:44Z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9F3CDEEFDE5A4948A1CDF33C91E1B2AC_13</vt:lpwstr>
  </property>
</Properties>
</file>