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rPr>
          <w:rFonts w:hint="eastAsia" w:ascii="宋体" w:hAnsi="宋体"/>
          <w:b/>
          <w:sz w:val="28"/>
          <w:szCs w:val="28"/>
        </w:rPr>
      </w:pP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17"/>
        <w:gridCol w:w="43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清理明秀校区化粪池、转粪池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化粪池24个共171车（3立方/车）、转粪池30个</w:t>
            </w:r>
          </w:p>
        </w:tc>
        <w:tc>
          <w:tcPr>
            <w:tcW w:w="43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负责明秀校区综合楼、西三栋、时珍楼、留学生楼、办公楼、西1、3栋学生宿舍、西A、B教室、图书馆、6栋、7栋、8栋、9栋、10栋、青工楼、解剖楼、国教院、C座、B座、基础楼、会展中心、壮医楼</w:t>
            </w:r>
            <w:r>
              <w:rPr>
                <w:rFonts w:hint="eastAsia"/>
              </w:rPr>
              <w:t>等所有化粪池和转粪池的粪便及垃圾清理。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2、清理内容：包括清理干净明秀校区所有化粪池</w:t>
            </w:r>
            <w:r>
              <w:rPr>
                <w:rFonts w:hint="eastAsia" w:ascii="宋体" w:hAnsi="宋体" w:eastAsia="宋体" w:cs="Times New Roman"/>
                <w:szCs w:val="21"/>
              </w:rPr>
              <w:t>24个共171车（3立方/车）</w:t>
            </w:r>
            <w:r>
              <w:rPr>
                <w:rFonts w:hint="eastAsia" w:ascii="宋体" w:hAnsi="宋体" w:cs="宋体"/>
                <w:kern w:val="0"/>
                <w:szCs w:val="21"/>
              </w:rPr>
              <w:t>和转粪池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3、清理结束以后化粪池和转粪池确保合同期内不堵塞、污水不外溢。如发生堵塞情况供应商须在4小时内到达现场处理疏通、清运，保证不影响学校正常使用。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bookmarkStart w:id="0" w:name="_GoBack"/>
            <w:r>
              <w:rPr>
                <w:rFonts w:hint="eastAsia" w:ascii="宋体" w:hAnsi="宋体" w:cs="宋体"/>
                <w:kern w:val="0"/>
                <w:szCs w:val="21"/>
                <w:lang w:val="en-US" w:eastAsia="zh-CN"/>
              </w:rPr>
              <w:t>城市生活垃圾经营、</w:t>
            </w:r>
            <w:bookmarkEnd w:id="0"/>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szCs w:val="21"/>
                <w:lang w:eastAsia="zh-CN"/>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rPr>
              <w:t>清理工作完成并经采购人验收合格后，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2586F07"/>
    <w:rsid w:val="026143FC"/>
    <w:rsid w:val="0A0F5BB5"/>
    <w:rsid w:val="0E6F05D1"/>
    <w:rsid w:val="157A4E35"/>
    <w:rsid w:val="15A6480D"/>
    <w:rsid w:val="20A0716E"/>
    <w:rsid w:val="21423768"/>
    <w:rsid w:val="224F531D"/>
    <w:rsid w:val="278E005D"/>
    <w:rsid w:val="33F53549"/>
    <w:rsid w:val="38290730"/>
    <w:rsid w:val="417539DA"/>
    <w:rsid w:val="47283916"/>
    <w:rsid w:val="477104C8"/>
    <w:rsid w:val="508F329F"/>
    <w:rsid w:val="52264F17"/>
    <w:rsid w:val="527B4618"/>
    <w:rsid w:val="52B813CD"/>
    <w:rsid w:val="52D653D6"/>
    <w:rsid w:val="5B8E2CD1"/>
    <w:rsid w:val="67D866A0"/>
    <w:rsid w:val="6C28527F"/>
    <w:rsid w:val="6D66755A"/>
    <w:rsid w:val="701D42CC"/>
    <w:rsid w:val="70FD01B8"/>
    <w:rsid w:val="7835786E"/>
    <w:rsid w:val="7C2B051C"/>
    <w:rsid w:val="7C9F7788"/>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autoRedefine/>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4"/>
    <w:autoRedefine/>
    <w:unhideWhenUsed/>
    <w:qFormat/>
    <w:uiPriority w:val="0"/>
    <w:pPr>
      <w:jc w:val="left"/>
    </w:pPr>
  </w:style>
  <w:style w:type="paragraph" w:styleId="5">
    <w:name w:val="Plain Text"/>
    <w:basedOn w:val="1"/>
    <w:link w:val="31"/>
    <w:autoRedefine/>
    <w:qFormat/>
    <w:uiPriority w:val="0"/>
    <w:rPr>
      <w:rFonts w:ascii="宋体" w:hAnsi="Courier New" w:eastAsia="宋体" w:cs="Courier New"/>
      <w:kern w:val="0"/>
      <w:sz w:val="20"/>
      <w:szCs w:val="21"/>
    </w:rPr>
  </w:style>
  <w:style w:type="paragraph" w:styleId="6">
    <w:name w:val="Balloon Text"/>
    <w:basedOn w:val="1"/>
    <w:link w:val="36"/>
    <w:autoRedefine/>
    <w:unhideWhenUsed/>
    <w:qFormat/>
    <w:uiPriority w:val="0"/>
    <w:rPr>
      <w:sz w:val="18"/>
      <w:szCs w:val="18"/>
    </w:rPr>
  </w:style>
  <w:style w:type="paragraph" w:styleId="7">
    <w:name w:val="footer"/>
    <w:basedOn w:val="1"/>
    <w:link w:val="29"/>
    <w:autoRedefine/>
    <w:qFormat/>
    <w:uiPriority w:val="99"/>
    <w:pPr>
      <w:tabs>
        <w:tab w:val="center" w:pos="4153"/>
        <w:tab w:val="right" w:pos="8306"/>
      </w:tabs>
      <w:snapToGrid w:val="0"/>
      <w:jc w:val="left"/>
    </w:pPr>
    <w:rPr>
      <w:sz w:val="18"/>
      <w:szCs w:val="18"/>
    </w:rPr>
  </w:style>
  <w:style w:type="paragraph" w:styleId="8">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Courier New" w:hAnsi="Courier New"/>
      <w:sz w:val="20"/>
    </w:rPr>
  </w:style>
  <w:style w:type="character" w:styleId="22">
    <w:name w:val="annotation reference"/>
    <w:basedOn w:val="13"/>
    <w:autoRedefine/>
    <w:unhideWhenUsed/>
    <w:qFormat/>
    <w:uiPriority w:val="0"/>
    <w:rPr>
      <w:sz w:val="21"/>
      <w:szCs w:val="21"/>
    </w:rPr>
  </w:style>
  <w:style w:type="character" w:styleId="23">
    <w:name w:val="HTML Cite"/>
    <w:basedOn w:val="13"/>
    <w:autoRedefine/>
    <w:qFormat/>
    <w:uiPriority w:val="0"/>
  </w:style>
  <w:style w:type="character" w:customStyle="1" w:styleId="24">
    <w:name w:val="current"/>
    <w:basedOn w:val="13"/>
    <w:autoRedefine/>
    <w:qFormat/>
    <w:uiPriority w:val="0"/>
    <w:rPr>
      <w:b/>
      <w:bCs/>
      <w:color w:val="FFFFFF"/>
      <w:bdr w:val="single" w:color="7D6543" w:sz="6" w:space="0"/>
      <w:shd w:val="clear" w:color="auto" w:fill="7D6543"/>
    </w:rPr>
  </w:style>
  <w:style w:type="character" w:customStyle="1" w:styleId="25">
    <w:name w:val="disabled"/>
    <w:basedOn w:val="13"/>
    <w:autoRedefine/>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页眉 Char"/>
    <w:basedOn w:val="13"/>
    <w:link w:val="8"/>
    <w:autoRedefine/>
    <w:qFormat/>
    <w:uiPriority w:val="99"/>
    <w:rPr>
      <w:rFonts w:asciiTheme="minorHAnsi" w:hAnsiTheme="minorHAnsi" w:eastAsiaTheme="minorEastAsia" w:cstheme="minorBidi"/>
      <w:kern w:val="2"/>
      <w:sz w:val="18"/>
      <w:szCs w:val="18"/>
    </w:rPr>
  </w:style>
  <w:style w:type="character" w:customStyle="1" w:styleId="29">
    <w:name w:val="页脚 Char"/>
    <w:basedOn w:val="13"/>
    <w:link w:val="7"/>
    <w:autoRedefine/>
    <w:qFormat/>
    <w:uiPriority w:val="99"/>
    <w:rPr>
      <w:rFonts w:asciiTheme="minorHAnsi" w:hAnsiTheme="minorHAnsi" w:eastAsiaTheme="minorEastAsia" w:cstheme="minorBidi"/>
      <w:kern w:val="2"/>
      <w:sz w:val="18"/>
      <w:szCs w:val="18"/>
    </w:rPr>
  </w:style>
  <w:style w:type="paragraph" w:customStyle="1" w:styleId="30">
    <w:name w:val="List Paragraph"/>
    <w:basedOn w:val="1"/>
    <w:autoRedefine/>
    <w:unhideWhenUsed/>
    <w:qFormat/>
    <w:uiPriority w:val="99"/>
    <w:pPr>
      <w:ind w:firstLine="420" w:firstLineChars="200"/>
    </w:pPr>
  </w:style>
  <w:style w:type="character" w:customStyle="1" w:styleId="31">
    <w:name w:val="纯文本 Char"/>
    <w:basedOn w:val="13"/>
    <w:link w:val="5"/>
    <w:autoRedefine/>
    <w:qFormat/>
    <w:uiPriority w:val="0"/>
    <w:rPr>
      <w:rFonts w:ascii="宋体" w:hAnsi="Courier New" w:cs="Courier New"/>
      <w:szCs w:val="21"/>
    </w:rPr>
  </w:style>
  <w:style w:type="paragraph" w:customStyle="1" w:styleId="32">
    <w:name w:val="No Spacing"/>
    <w:link w:val="33"/>
    <w:autoRedefine/>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autoRedefine/>
    <w:qFormat/>
    <w:uiPriority w:val="1"/>
    <w:rPr>
      <w:rFonts w:asciiTheme="minorHAnsi" w:hAnsiTheme="minorHAnsi" w:eastAsiaTheme="minorEastAsia" w:cstheme="minorBidi"/>
      <w:sz w:val="22"/>
      <w:szCs w:val="22"/>
    </w:rPr>
  </w:style>
  <w:style w:type="character" w:customStyle="1" w:styleId="34">
    <w:name w:val="批注文字 Char"/>
    <w:basedOn w:val="13"/>
    <w:link w:val="4"/>
    <w:autoRedefine/>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autoRedefine/>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16</TotalTime>
  <ScaleCrop>false</ScaleCrop>
  <LinksUpToDate>false</LinksUpToDate>
  <CharactersWithSpaces>1137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2024-04-02T06:58:48Z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301D8EB6D0F64D56B4051A22A04EDA48_13</vt:lpwstr>
  </property>
</Properties>
</file>