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22"/>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校园卡</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定制</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7600</w:t>
            </w:r>
            <w:bookmarkStart w:id="0" w:name="_GoBack"/>
            <w:bookmarkEnd w:id="0"/>
            <w:r>
              <w:rPr>
                <w:rFonts w:hint="eastAsia" w:ascii="宋体" w:hAnsi="宋体" w:cs="宋体"/>
                <w:kern w:val="0"/>
                <w:szCs w:val="21"/>
                <w:lang w:eastAsia="zh-CN"/>
              </w:rPr>
              <w:t>张</w:t>
            </w:r>
          </w:p>
        </w:tc>
        <w:tc>
          <w:tcPr>
            <w:tcW w:w="405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1.芯片采用微电子 13.56Mhz CPU 芯片；</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2.芯片容量16K EEPROM。其中 1 个模拟标准 Mirfare on（1K）；</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3.外形符合 ISO 标准卡尺寸 85.60×54.00×1.00±0.02mm；</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4.封装材料为 PVC；</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5.卡片技术要求、应用技术要求、密钥系统、安全认证技术等要求符合《中国金融集成电路 IC 卡规范》 V2.0 ED/EP；</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6.具有防冲突机制；</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7.每张卡有唯一序列号，为 32 位；</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8、支持多卡操作无电源，自带天线；</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9、内含加密控制逻辑和通讯逻辑电路；</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10、数据保存期：〉15 年；</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11、存储区可达 15 万次以上重复擦写；</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12、每个扇区有独立的一组密码及访问控制；</w:t>
            </w:r>
          </w:p>
          <w:p>
            <w:pP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13、卡片与读写卡器的有效感应距离5-8cm；</w:t>
            </w:r>
          </w:p>
          <w:p>
            <w:pPr>
              <w:widowControl/>
              <w:jc w:val="left"/>
              <w:textAlignment w:val="center"/>
              <w:rPr>
                <w:rFonts w:asciiTheme="minorEastAsia" w:hAnsiTheme="minorEastAsia" w:cstheme="minorEastAsia"/>
                <w:color w:val="000000" w:themeColor="text1"/>
                <w:kern w:val="0"/>
                <w:sz w:val="18"/>
                <w:szCs w:val="18"/>
                <w14:textFill>
                  <w14:solidFill>
                    <w14:schemeClr w14:val="tx1"/>
                  </w14:solidFill>
                </w14:textFill>
              </w:rPr>
            </w:pPr>
            <w:r>
              <w:rPr>
                <w:rFonts w:hint="eastAsia" w:asciiTheme="minorEastAsia" w:hAnsiTheme="minorEastAsia" w:cstheme="minorEastAsia"/>
                <w:color w:val="000000" w:themeColor="text1"/>
                <w:kern w:val="0"/>
                <w:sz w:val="18"/>
                <w:szCs w:val="18"/>
                <w14:textFill>
                  <w14:solidFill>
                    <w14:schemeClr w14:val="tx1"/>
                  </w14:solidFill>
                </w14:textFill>
              </w:rPr>
              <w:t>★14、须与采购人现有一卡通系统（型号：新中新V</w:t>
            </w:r>
            <w:r>
              <w:rPr>
                <w:rFonts w:asciiTheme="minorEastAsia" w:hAnsiTheme="minorEastAsia" w:cstheme="minorEastAsia"/>
                <w:color w:val="000000" w:themeColor="text1"/>
                <w:kern w:val="0"/>
                <w:sz w:val="18"/>
                <w:szCs w:val="18"/>
                <w14:textFill>
                  <w14:solidFill>
                    <w14:schemeClr w14:val="tx1"/>
                  </w14:solidFill>
                </w14:textFill>
              </w:rPr>
              <w:t>4</w:t>
            </w:r>
            <w:r>
              <w:rPr>
                <w:rFonts w:hint="eastAsia" w:asciiTheme="minorEastAsia" w:hAnsiTheme="minorEastAsia" w:cstheme="minorEastAsia"/>
                <w:color w:val="000000" w:themeColor="text1"/>
                <w:kern w:val="0"/>
                <w:sz w:val="18"/>
                <w:szCs w:val="18"/>
                <w14:textFill>
                  <w14:solidFill>
                    <w14:schemeClr w14:val="tx1"/>
                  </w14:solidFill>
                </w14:textFill>
              </w:rPr>
              <w:t>.0）完全兼容并保证数据加密安全，竞标文件中提供现有一卡通系统厂家（北京新中新诚通信息技术股份有限公司）或国家第三方认证机构出具的兼容性证明材料。</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Theme="minorEastAsia" w:hAnsiTheme="minorEastAsia" w:cstheme="minorEastAsia"/>
                <w:color w:val="000000" w:themeColor="text1"/>
                <w:kern w:val="0"/>
                <w:sz w:val="18"/>
                <w:szCs w:val="18"/>
                <w14:textFill>
                  <w14:solidFill>
                    <w14:schemeClr w14:val="tx1"/>
                  </w14:solidFill>
                </w14:textFill>
              </w:rPr>
              <w:t>★</w:t>
            </w:r>
            <w:r>
              <w:rPr>
                <w:rFonts w:asciiTheme="minorEastAsia" w:hAnsiTheme="minorEastAsia" w:cstheme="minorEastAsia"/>
                <w:color w:val="000000" w:themeColor="text1"/>
                <w:kern w:val="0"/>
                <w:sz w:val="18"/>
                <w:szCs w:val="18"/>
                <w14:textFill>
                  <w14:solidFill>
                    <w14:schemeClr w14:val="tx1"/>
                  </w14:solidFill>
                </w14:textFill>
              </w:rPr>
              <w:t>15</w:t>
            </w:r>
            <w:r>
              <w:rPr>
                <w:rFonts w:hint="eastAsia" w:asciiTheme="minorEastAsia" w:hAnsiTheme="minorEastAsia" w:cstheme="minorEastAsia"/>
                <w:color w:val="000000" w:themeColor="text1"/>
                <w:kern w:val="0"/>
                <w:sz w:val="18"/>
                <w:szCs w:val="18"/>
                <w14:textFill>
                  <w14:solidFill>
                    <w14:schemeClr w14:val="tx1"/>
                  </w14:solidFill>
                </w14:textFill>
              </w:rPr>
              <w:t>.本次采购的cpu卡参数要与现有校园卡系统发卡读卡器兼容，不得设置任何私有密钥区域，经本校测试合格后，方可参与采购；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4</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kern w:val="0"/>
                <w:sz w:val="21"/>
                <w:szCs w:val="21"/>
                <w:lang w:bidi="ar"/>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eastAsia="zh-CN" w:bidi="ar"/>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hint="eastAsia" w:ascii="宋体" w:hAnsi="宋体" w:eastAsia="宋体" w:cs="宋体"/>
                <w:color w:val="000000"/>
                <w:kern w:val="0"/>
                <w:sz w:val="21"/>
                <w:szCs w:val="21"/>
                <w:lang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5</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kern w:val="0"/>
                <w:sz w:val="21"/>
                <w:szCs w:val="21"/>
                <w:lang w:bidi="ar"/>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lang w:bidi="ar"/>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lang w:eastAsia="zh-CN"/>
              </w:rPr>
            </w:pPr>
          </w:p>
        </w:tc>
        <w:tc>
          <w:tcPr>
            <w:tcW w:w="405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eastAsiaTheme="minorEastAsia"/>
                <w:kern w:val="0"/>
                <w:szCs w:val="21"/>
                <w:lang w:eastAsia="zh-CN"/>
              </w:rPr>
            </w:pPr>
            <w:r>
              <w:rPr>
                <w:rFonts w:hint="eastAsia" w:asciiTheme="minorEastAsia" w:hAnsiTheme="minorEastAsia"/>
                <w:color w:val="000000" w:themeColor="text1"/>
                <w:szCs w:val="21"/>
                <w:lang w:eastAsia="zh-CN"/>
                <w14:textFill>
                  <w14:solidFill>
                    <w14:schemeClr w14:val="tx1"/>
                  </w14:solidFill>
                </w14:textFill>
              </w:rPr>
              <w:t>质保期：</w:t>
            </w:r>
            <w:r>
              <w:rPr>
                <w:rFonts w:hint="eastAsia" w:asciiTheme="minorEastAsia" w:hAnsiTheme="minorEastAsia"/>
                <w:color w:val="000000" w:themeColor="text1"/>
                <w:szCs w:val="21"/>
                <w14:textFill>
                  <w14:solidFill>
                    <w14:schemeClr w14:val="tx1"/>
                  </w14:solidFill>
                </w14:textFill>
              </w:rPr>
              <w:t>自货物最终验收合格之日起计算，</w:t>
            </w:r>
            <w:r>
              <w:rPr>
                <w:rFonts w:hint="eastAsia" w:asciiTheme="minorEastAsia" w:hAnsiTheme="minorEastAsia"/>
                <w:color w:val="000000" w:themeColor="text1"/>
                <w:szCs w:val="21"/>
                <w:lang w:val="en-US" w:eastAsia="zh-CN"/>
                <w14:textFill>
                  <w14:solidFill>
                    <w14:schemeClr w14:val="tx1"/>
                  </w14:solidFill>
                </w14:textFill>
              </w:rPr>
              <w:t>提供</w:t>
            </w:r>
            <w:r>
              <w:rPr>
                <w:rFonts w:hint="eastAsia" w:asciiTheme="minorEastAsia" w:hAnsiTheme="minorEastAsia"/>
                <w:color w:val="000000" w:themeColor="text1"/>
                <w:szCs w:val="21"/>
                <w14:textFill>
                  <w14:solidFill>
                    <w14:schemeClr w14:val="tx1"/>
                  </w14:solidFill>
                </w14:textFill>
              </w:rPr>
              <w:t>1年</w:t>
            </w:r>
            <w:r>
              <w:rPr>
                <w:rFonts w:hint="eastAsia" w:asciiTheme="minorEastAsia" w:hAnsiTheme="minorEastAsia"/>
                <w:color w:val="000000" w:themeColor="text1"/>
                <w:szCs w:val="21"/>
                <w:lang w:val="en-US" w:eastAsia="zh-CN"/>
                <w14:textFill>
                  <w14:solidFill>
                    <w14:schemeClr w14:val="tx1"/>
                  </w14:solidFill>
                </w14:textFill>
              </w:rPr>
              <w:t>质保期</w:t>
            </w:r>
            <w:r>
              <w:rPr>
                <w:rFonts w:hint="eastAsia" w:asciiTheme="minorEastAsia" w:hAnsiTheme="minorEastAsia"/>
                <w:color w:val="000000" w:themeColor="text1"/>
                <w:szCs w:val="21"/>
                <w14:textFill>
                  <w14:solidFill>
                    <w14:schemeClr w14:val="tx1"/>
                  </w14:solidFill>
                </w14:textFill>
              </w:rPr>
              <w:t>，质保期免费更换</w:t>
            </w:r>
            <w:r>
              <w:rPr>
                <w:rFonts w:hint="eastAsia" w:asciiTheme="minorEastAsia" w:hAnsiTheme="minorEastAsia"/>
                <w:color w:val="000000" w:themeColor="text1"/>
                <w:szCs w:val="21"/>
                <w:lang w:val="en-US" w:eastAsia="zh-CN"/>
                <w14:textFill>
                  <w14:solidFill>
                    <w14:schemeClr w14:val="tx1"/>
                  </w14:solidFill>
                </w14:textFill>
              </w:rPr>
              <w:t>故障卡片</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eastAsia="zh-CN"/>
                <w14:textFill>
                  <w14:solidFill>
                    <w14:schemeClr w14:val="tx1"/>
                  </w14:solidFill>
                </w14:textFill>
              </w:rPr>
              <w:t>服务地点：校园卡结算中心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highlight w:val="none"/>
              </w:rPr>
              <w:t>付款</w:t>
            </w:r>
            <w:r>
              <w:rPr>
                <w:rFonts w:hint="eastAsia" w:ascii="宋体" w:hAnsi="宋体"/>
                <w:szCs w:val="21"/>
                <w:highlight w:val="none"/>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Theme="minorEastAsia" w:hAnsiTheme="minorEastAsia"/>
                <w:color w:val="000000" w:themeColor="text1"/>
                <w:szCs w:val="21"/>
                <w14:textFill>
                  <w14:solidFill>
                    <w14:schemeClr w14:val="tx1"/>
                  </w14:solidFill>
                </w14:textFill>
              </w:rPr>
              <w:t>一次性支付：本采购文件项下全部货物经最终验收合格后 15 个工作日内，采购人凭成交供应商开具的全额增值税普通发票向成交供应商支付全部合同价款。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w:t>
            </w:r>
            <w:r>
              <w:rPr>
                <w:rFonts w:hint="eastAsia" w:ascii="宋体" w:hAnsi="宋体" w:cs="TimesNewRomanPSMT"/>
                <w:b/>
                <w:kern w:val="0"/>
                <w:szCs w:val="21"/>
                <w:highlight w:val="none"/>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1、本采购文件项下的货物在交货、验收及质保期等任何阶段内不符合合同约定的技术规范要求和验收标准的，采购人有权向成交供应商索赔并选择下列一项或多项补救措施：</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（1）由成交供应商采取措施消除设备缺陷或不符合合同之处，如果成交供应商不能及时消除缺陷，采购人有权自行消除缺陷或不符合合同之处，由此产生的一切费用均由成交供应商承担。</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（2）由成交供应商在接到采购人通知后 10 日内用符合合同规定的规格、质量和性能要求的新零件、部件和设备更换有缺陷的设备或用新的技术资料替换有错误的技术资料或补供遗漏的设备或技术资料等，成交供应商应承担一切费用和风险并负担给采购人造成的全部损失。</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（3）根据货物的低劣程度、损坏程度以及采购人所遭受损失的数额，成交供应商必须降低货物的价格。</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（4）退货，成交供应商应退还采购人支付的全部合同款，同时应承担该货物的直接费用（运输、保险、检验、货款利息及银行手续费等）。</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2、成交供应商逾期交付货物的，每逾期一日，应按逾期交货总额 3 ‰向采购人支付违约金。逾期超过约定日期 17 个工作日不能交货的，采购人有权解除本合同，并要求成交供应商支付合同总额 20 %的违约金。</w:t>
            </w:r>
          </w:p>
          <w:p>
            <w:pP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成交供应商所交付的货物品种、型号、规格、技术参数、质量不符合合同规定及反向竞价文件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pPr>
              <w:pStyle w:val="2"/>
              <w:rPr>
                <w:rFonts w:hint="eastAsia"/>
                <w:lang w:val="en-US" w:eastAsia="zh-CN"/>
              </w:rPr>
            </w:pPr>
            <w:r>
              <w:rPr>
                <w:rFonts w:hint="eastAsia" w:asciiTheme="minorEastAsia" w:hAnsiTheme="minorEastAsia"/>
                <w:color w:val="000000" w:themeColor="text1"/>
                <w:szCs w:val="21"/>
                <w14:textFill>
                  <w14:solidFill>
                    <w14:schemeClr w14:val="tx1"/>
                  </w14:solidFill>
                </w14:textFill>
              </w:rPr>
              <w:t>4、成交供应商未能按约定要求履行保修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pPr>
        <w:pStyle w:val="10"/>
        <w:widowControl/>
        <w:spacing w:after="452" w:line="555" w:lineRule="atLeast"/>
        <w:rPr>
          <w:rStyle w:val="12"/>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9771562"/>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 w:val="7F8D21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1">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0"/>
    <w:rPr>
      <w:b/>
      <w:bCs/>
    </w:rPr>
  </w:style>
  <w:style w:type="paragraph" w:styleId="5">
    <w:name w:val="annotation text"/>
    <w:basedOn w:val="1"/>
    <w:link w:val="34"/>
    <w:unhideWhenUsed/>
    <w:qFormat/>
    <w:uiPriority w:val="0"/>
    <w:pPr>
      <w:jc w:val="left"/>
    </w:pPr>
  </w:style>
  <w:style w:type="paragraph" w:styleId="6">
    <w:name w:val="Plain Text"/>
    <w:basedOn w:val="1"/>
    <w:link w:val="31"/>
    <w:qFormat/>
    <w:uiPriority w:val="0"/>
    <w:rPr>
      <w:rFonts w:ascii="宋体" w:hAnsi="Courier New" w:eastAsia="宋体" w:cs="Courier New"/>
      <w:kern w:val="0"/>
      <w:sz w:val="20"/>
      <w:szCs w:val="21"/>
    </w:rPr>
  </w:style>
  <w:style w:type="paragraph" w:styleId="7">
    <w:name w:val="Balloon Text"/>
    <w:basedOn w:val="1"/>
    <w:link w:val="36"/>
    <w:unhideWhenUsed/>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3333"/>
      <w:u w:val="none"/>
    </w:rPr>
  </w:style>
  <w:style w:type="character" w:styleId="19">
    <w:name w:val="HTML Code"/>
    <w:basedOn w:val="11"/>
    <w:qFormat/>
    <w:uiPriority w:val="0"/>
    <w:rPr>
      <w:rFonts w:ascii="Courier New" w:hAnsi="Courier New"/>
      <w:sz w:val="20"/>
    </w:rPr>
  </w:style>
  <w:style w:type="character" w:styleId="20">
    <w:name w:val="annotation reference"/>
    <w:basedOn w:val="11"/>
    <w:unhideWhenUsed/>
    <w:qFormat/>
    <w:uiPriority w:val="0"/>
    <w:rPr>
      <w:sz w:val="21"/>
      <w:szCs w:val="21"/>
    </w:rPr>
  </w:style>
  <w:style w:type="character" w:styleId="21">
    <w:name w:val="HTML Cite"/>
    <w:basedOn w:val="11"/>
    <w:qFormat/>
    <w:uiPriority w:val="0"/>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current"/>
    <w:basedOn w:val="11"/>
    <w:qFormat/>
    <w:uiPriority w:val="0"/>
    <w:rPr>
      <w:b/>
      <w:bCs/>
      <w:color w:val="FFFFFF"/>
      <w:bdr w:val="single" w:color="7D6543" w:sz="6" w:space="0"/>
      <w:shd w:val="clear" w:color="auto" w:fill="7D6543"/>
    </w:rPr>
  </w:style>
  <w:style w:type="character" w:customStyle="1" w:styleId="25">
    <w:name w:val="disabled"/>
    <w:basedOn w:val="11"/>
    <w:qFormat/>
    <w:uiPriority w:val="0"/>
    <w:rPr>
      <w:color w:val="999999"/>
      <w:bdr w:val="single" w:color="C5C5C5" w:sz="6" w:space="0"/>
    </w:rPr>
  </w:style>
  <w:style w:type="character" w:customStyle="1" w:styleId="26">
    <w:name w:val="font11"/>
    <w:basedOn w:val="11"/>
    <w:qFormat/>
    <w:uiPriority w:val="0"/>
    <w:rPr>
      <w:rFonts w:hint="eastAsia" w:ascii="宋体" w:hAnsi="宋体" w:eastAsia="宋体" w:cs="宋体"/>
      <w:color w:val="000000"/>
      <w:sz w:val="24"/>
      <w:szCs w:val="24"/>
      <w:u w:val="none"/>
    </w:rPr>
  </w:style>
  <w:style w:type="character" w:customStyle="1" w:styleId="27">
    <w:name w:val="font31"/>
    <w:basedOn w:val="11"/>
    <w:qFormat/>
    <w:uiPriority w:val="0"/>
    <w:rPr>
      <w:rFonts w:hint="eastAsia" w:ascii="宋体" w:hAnsi="宋体" w:eastAsia="宋体" w:cs="宋体"/>
      <w:color w:val="000000"/>
      <w:sz w:val="24"/>
      <w:szCs w:val="24"/>
      <w:u w:val="none"/>
    </w:rPr>
  </w:style>
  <w:style w:type="character" w:customStyle="1" w:styleId="28">
    <w:name w:val="页眉 Char"/>
    <w:basedOn w:val="11"/>
    <w:link w:val="9"/>
    <w:qFormat/>
    <w:uiPriority w:val="99"/>
    <w:rPr>
      <w:rFonts w:asciiTheme="minorHAnsi" w:hAnsiTheme="minorHAnsi" w:eastAsiaTheme="minorEastAsia" w:cstheme="minorBidi"/>
      <w:kern w:val="2"/>
      <w:sz w:val="18"/>
      <w:szCs w:val="18"/>
    </w:rPr>
  </w:style>
  <w:style w:type="character" w:customStyle="1" w:styleId="29">
    <w:name w:val="页脚 Char"/>
    <w:basedOn w:val="11"/>
    <w:link w:val="8"/>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1"/>
    <w:link w:val="6"/>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1"/>
    <w:link w:val="32"/>
    <w:qFormat/>
    <w:uiPriority w:val="1"/>
    <w:rPr>
      <w:rFonts w:asciiTheme="minorHAnsi" w:hAnsiTheme="minorHAnsi" w:eastAsiaTheme="minorEastAsia" w:cstheme="minorBidi"/>
      <w:sz w:val="22"/>
      <w:szCs w:val="22"/>
    </w:rPr>
  </w:style>
  <w:style w:type="character" w:customStyle="1" w:styleId="34">
    <w:name w:val="批注文字 Char"/>
    <w:basedOn w:val="11"/>
    <w:link w:val="5"/>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4"/>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1"/>
    <w:link w:val="7"/>
    <w:semiHidden/>
    <w:qFormat/>
    <w:uiPriority w:val="0"/>
    <w:rPr>
      <w:rFonts w:asciiTheme="minorHAnsi" w:hAnsiTheme="minorHAnsi" w:eastAsiaTheme="minorEastAsia" w:cstheme="minorBidi"/>
      <w:kern w:val="2"/>
      <w:sz w:val="18"/>
      <w:szCs w:val="18"/>
    </w:rPr>
  </w:style>
  <w:style w:type="paragraph" w:customStyle="1" w:styleId="37">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6781</Words>
  <Characters>7449</Characters>
  <Lines>9</Lines>
  <Paragraphs>2</Paragraphs>
  <TotalTime>0</TotalTime>
  <ScaleCrop>false</ScaleCrop>
  <LinksUpToDate>false</LinksUpToDate>
  <CharactersWithSpaces>7528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100666</cp:lastModifiedBy>
  <cp:lastPrinted>2021-12-09T07:52:00Z</cp:lastPrinted>
  <dcterms:modified xsi:type="dcterms:W3CDTF">2023-06-05T06:42:47Z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