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05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附件2</w:t>
      </w:r>
    </w:p>
    <w:p w14:paraId="0323A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2025年本科学生第二批转专业接收名额计划表</w:t>
      </w:r>
      <w:bookmarkEnd w:id="0"/>
    </w:p>
    <w:tbl>
      <w:tblPr>
        <w:tblStyle w:val="4"/>
        <w:tblW w:w="8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3294"/>
        <w:gridCol w:w="2559"/>
      </w:tblGrid>
      <w:tr w14:paraId="5D2D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shd w:val="clear" w:color="auto" w:fill="D9D9D9"/>
            <w:vAlign w:val="center"/>
          </w:tcPr>
          <w:p w14:paraId="0C9A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院</w:t>
            </w:r>
          </w:p>
        </w:tc>
        <w:tc>
          <w:tcPr>
            <w:tcW w:w="3294" w:type="dxa"/>
            <w:shd w:val="clear" w:color="auto" w:fill="D9D9D9"/>
            <w:vAlign w:val="center"/>
          </w:tcPr>
          <w:p w14:paraId="5B61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559" w:type="dxa"/>
            <w:shd w:val="clear" w:color="auto" w:fill="D9D9D9"/>
            <w:vAlign w:val="center"/>
          </w:tcPr>
          <w:p w14:paraId="5AC1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接收名额（上限）</w:t>
            </w:r>
          </w:p>
        </w:tc>
      </w:tr>
      <w:tr w14:paraId="75AE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vMerge w:val="restart"/>
            <w:shd w:val="clear" w:color="auto" w:fill="auto"/>
            <w:vAlign w:val="center"/>
          </w:tcPr>
          <w:p w14:paraId="6451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7D4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E478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 w14:paraId="10B0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vMerge w:val="continue"/>
            <w:shd w:val="clear" w:color="auto" w:fill="auto"/>
            <w:vAlign w:val="center"/>
          </w:tcPr>
          <w:p w14:paraId="654E6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13A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  学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FF4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0904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vMerge w:val="continue"/>
            <w:shd w:val="clear" w:color="auto" w:fill="auto"/>
            <w:vAlign w:val="center"/>
          </w:tcPr>
          <w:p w14:paraId="31F5F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26F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856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CF2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vMerge w:val="continue"/>
            <w:shd w:val="clear" w:color="auto" w:fill="auto"/>
            <w:vAlign w:val="center"/>
          </w:tcPr>
          <w:p w14:paraId="25EE1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697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FB9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6F7B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vMerge w:val="restart"/>
            <w:shd w:val="clear" w:color="auto" w:fill="auto"/>
            <w:vAlign w:val="center"/>
          </w:tcPr>
          <w:p w14:paraId="7408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4C8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F1B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 w14:paraId="4C2F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vMerge w:val="continue"/>
            <w:shd w:val="clear" w:color="auto" w:fill="auto"/>
            <w:vAlign w:val="center"/>
          </w:tcPr>
          <w:p w14:paraId="0728E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A5C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897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422B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vMerge w:val="continue"/>
            <w:shd w:val="clear" w:color="auto" w:fill="auto"/>
            <w:vAlign w:val="center"/>
          </w:tcPr>
          <w:p w14:paraId="44DD6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339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6F9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FD6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vMerge w:val="restart"/>
            <w:shd w:val="clear" w:color="auto" w:fill="auto"/>
            <w:vAlign w:val="center"/>
          </w:tcPr>
          <w:p w14:paraId="1DA6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瑞康临床医学院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96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1B9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0930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vMerge w:val="continue"/>
            <w:shd w:val="clear" w:color="auto" w:fill="auto"/>
            <w:vAlign w:val="center"/>
          </w:tcPr>
          <w:p w14:paraId="55BDD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5B4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804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4182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vMerge w:val="continue"/>
            <w:shd w:val="clear" w:color="auto" w:fill="auto"/>
            <w:vAlign w:val="center"/>
          </w:tcPr>
          <w:p w14:paraId="0DDCC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799B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F1C3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257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vMerge w:val="continue"/>
            <w:shd w:val="clear" w:color="auto" w:fill="auto"/>
            <w:vAlign w:val="center"/>
          </w:tcPr>
          <w:p w14:paraId="00F86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EF6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71C4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7A9C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vMerge w:val="restart"/>
            <w:shd w:val="clear" w:color="auto" w:fill="auto"/>
            <w:vAlign w:val="center"/>
          </w:tcPr>
          <w:p w14:paraId="5036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公共卫生与管理学院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26E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1E3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51C0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vMerge w:val="continue"/>
            <w:shd w:val="clear" w:color="auto" w:fill="auto"/>
            <w:vAlign w:val="center"/>
          </w:tcPr>
          <w:p w14:paraId="090B9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FA71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3CC8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450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vMerge w:val="continue"/>
            <w:shd w:val="clear" w:color="auto" w:fill="auto"/>
            <w:vAlign w:val="center"/>
          </w:tcPr>
          <w:p w14:paraId="3119B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26B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C527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1BCA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vMerge w:val="continue"/>
            <w:shd w:val="clear" w:color="auto" w:fill="auto"/>
            <w:vAlign w:val="center"/>
          </w:tcPr>
          <w:p w14:paraId="7D33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2B75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57C3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4303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vMerge w:val="continue"/>
            <w:shd w:val="clear" w:color="auto" w:fill="auto"/>
            <w:vAlign w:val="center"/>
          </w:tcPr>
          <w:p w14:paraId="7EB88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C95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医学信息工程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9D5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78A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shd w:val="clear" w:color="auto" w:fill="auto"/>
            <w:vAlign w:val="center"/>
          </w:tcPr>
          <w:p w14:paraId="49A05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5A55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74C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 w14:paraId="2767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shd w:val="clear" w:color="auto" w:fill="auto"/>
            <w:vAlign w:val="center"/>
          </w:tcPr>
          <w:p w14:paraId="7650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针灸推拿学院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4C5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131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 w14:paraId="41FB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shd w:val="clear" w:color="auto" w:fill="auto"/>
            <w:vAlign w:val="center"/>
          </w:tcPr>
          <w:p w14:paraId="1B62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骨伤学院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A2F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C7E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7950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541" w:type="dxa"/>
            <w:shd w:val="clear" w:color="auto" w:fill="auto"/>
            <w:vAlign w:val="center"/>
          </w:tcPr>
          <w:p w14:paraId="2329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壮医药学院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A26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壮医学专业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D8B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813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35" w:type="dxa"/>
            <w:gridSpan w:val="2"/>
            <w:shd w:val="clear" w:color="auto" w:fill="auto"/>
            <w:noWrap/>
            <w:vAlign w:val="center"/>
          </w:tcPr>
          <w:p w14:paraId="69D7D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BD5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</w:tr>
    </w:tbl>
    <w:p w14:paraId="08C59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注：临床药学和医学信息工程专业接收名额仅含2025级就读。其他专业接收名额含2024级和2025级。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B1EB1A-F1C0-4138-9744-DF86180746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04F03C-9199-4AFB-930C-FC01E0660D18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BA61865-EE63-4A2C-A151-55106FC917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6F95E02-8375-47E6-8FF3-9D49B0A291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FCE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045F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3045F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16DFA"/>
    <w:rsid w:val="51B1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2025-11-20T15:15:00Z</dcterms:created>
  <dc:creator>罗婕</dc:creator>
  <cp:lastModifiedBy>罗婕</cp:lastModifiedBy>
  <dcterms:modified xsi:type="dcterms:W3CDTF">2025-11-20T15:15:52Z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F32CA35E63A84792A3CB99966E8FD9CB_11</vt:lpwstr>
  </property>
  <property fmtid="{D5CDD505-2E9C-101B-9397-08002B2CF9AE}" pid="4" name="KSOTemplateDocerSaveRecord">
    <vt:lpwstr>eyJoZGlkIjoiZWQ1NmI2ODc4ZTU2ODJjMjA0OWNkZGNhZTczZTE5MzkiLCJ1c2VySWQiOiIzNjA3MTMwNTEifQ==</vt:lpwstr>
  </property>
</Properties>
</file>