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78F3C">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附件1：</w:t>
      </w:r>
    </w:p>
    <w:p w14:paraId="30D97BA0">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2026年实验室危险废物处置服务内容及要求</w:t>
      </w:r>
    </w:p>
    <w:tbl>
      <w:tblPr>
        <w:tblStyle w:val="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95"/>
        <w:gridCol w:w="886"/>
        <w:gridCol w:w="515"/>
        <w:gridCol w:w="7165"/>
      </w:tblGrid>
      <w:tr w14:paraId="4E206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E97991D">
            <w:pPr>
              <w:spacing w:line="360" w:lineRule="auto"/>
              <w:rPr>
                <w:rFonts w:hint="eastAsia" w:ascii="宋体" w:hAnsi="宋体" w:eastAsia="宋体" w:cs="宋体"/>
                <w:b/>
                <w:szCs w:val="21"/>
              </w:rPr>
            </w:pPr>
            <w:bookmarkStart w:id="0" w:name="_Hlk149666117"/>
            <w:r>
              <w:rPr>
                <w:rFonts w:hint="eastAsia" w:ascii="宋体" w:hAnsi="宋体" w:eastAsia="宋体" w:cs="宋体"/>
                <w:b/>
                <w:szCs w:val="21"/>
              </w:rPr>
              <w:t>一、项目要求及技术需求</w:t>
            </w:r>
          </w:p>
        </w:tc>
      </w:tr>
      <w:tr w14:paraId="322B9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3" w:type="pct"/>
            <w:tcBorders>
              <w:top w:val="single" w:color="auto" w:sz="4" w:space="0"/>
              <w:left w:val="single" w:color="auto" w:sz="4" w:space="0"/>
              <w:right w:val="single" w:color="auto" w:sz="4" w:space="0"/>
            </w:tcBorders>
            <w:noWrap w:val="0"/>
            <w:vAlign w:val="center"/>
          </w:tcPr>
          <w:p w14:paraId="4CD5FF65">
            <w:pPr>
              <w:spacing w:line="360" w:lineRule="auto"/>
              <w:jc w:val="center"/>
              <w:rPr>
                <w:rFonts w:hint="eastAsia" w:ascii="宋体" w:hAnsi="宋体" w:eastAsia="宋体" w:cs="宋体"/>
                <w:szCs w:val="21"/>
              </w:rPr>
            </w:pPr>
            <w:r>
              <w:rPr>
                <w:rFonts w:hint="eastAsia" w:ascii="宋体" w:hAnsi="宋体" w:eastAsia="宋体" w:cs="宋体"/>
                <w:szCs w:val="21"/>
              </w:rPr>
              <w:t>项号</w:t>
            </w:r>
          </w:p>
        </w:tc>
        <w:tc>
          <w:tcPr>
            <w:tcW w:w="488" w:type="pct"/>
            <w:tcBorders>
              <w:top w:val="single" w:color="auto" w:sz="4" w:space="0"/>
              <w:left w:val="single" w:color="auto" w:sz="4" w:space="0"/>
              <w:right w:val="single" w:color="auto" w:sz="4" w:space="0"/>
            </w:tcBorders>
            <w:noWrap w:val="0"/>
            <w:vAlign w:val="center"/>
          </w:tcPr>
          <w:p w14:paraId="3EF4D24F">
            <w:pPr>
              <w:spacing w:line="360" w:lineRule="auto"/>
              <w:jc w:val="center"/>
              <w:rPr>
                <w:rFonts w:hint="eastAsia" w:ascii="宋体" w:hAnsi="宋体" w:eastAsia="宋体" w:cs="宋体"/>
                <w:szCs w:val="21"/>
              </w:rPr>
            </w:pPr>
            <w:r>
              <w:rPr>
                <w:rFonts w:hint="eastAsia" w:ascii="宋体" w:hAnsi="宋体" w:eastAsia="宋体" w:cs="宋体"/>
                <w:szCs w:val="21"/>
              </w:rPr>
              <w:t>标的名称</w:t>
            </w:r>
          </w:p>
        </w:tc>
        <w:tc>
          <w:tcPr>
            <w:tcW w:w="284" w:type="pct"/>
            <w:tcBorders>
              <w:top w:val="single" w:color="auto" w:sz="4" w:space="0"/>
              <w:left w:val="single" w:color="auto" w:sz="4" w:space="0"/>
              <w:right w:val="single" w:color="auto" w:sz="4" w:space="0"/>
            </w:tcBorders>
            <w:noWrap w:val="0"/>
            <w:vAlign w:val="center"/>
          </w:tcPr>
          <w:p w14:paraId="19C7BD83">
            <w:pPr>
              <w:spacing w:line="360" w:lineRule="auto"/>
              <w:jc w:val="center"/>
              <w:rPr>
                <w:rFonts w:hint="eastAsia" w:ascii="宋体" w:hAnsi="宋体" w:eastAsia="宋体" w:cs="宋体"/>
                <w:bCs/>
                <w:szCs w:val="21"/>
              </w:rPr>
            </w:pPr>
            <w:r>
              <w:rPr>
                <w:rFonts w:hint="eastAsia" w:ascii="宋体" w:hAnsi="宋体" w:eastAsia="宋体" w:cs="宋体"/>
                <w:szCs w:val="21"/>
              </w:rPr>
              <w:t>数量</w:t>
            </w:r>
          </w:p>
        </w:tc>
        <w:tc>
          <w:tcPr>
            <w:tcW w:w="3953" w:type="pct"/>
            <w:tcBorders>
              <w:top w:val="single" w:color="auto" w:sz="4" w:space="0"/>
              <w:left w:val="single" w:color="auto" w:sz="4" w:space="0"/>
              <w:bottom w:val="single" w:color="auto" w:sz="4" w:space="0"/>
              <w:right w:val="single" w:color="auto" w:sz="4" w:space="0"/>
            </w:tcBorders>
            <w:noWrap w:val="0"/>
            <w:vAlign w:val="center"/>
          </w:tcPr>
          <w:p w14:paraId="4FFE1F0C">
            <w:pPr>
              <w:spacing w:line="360" w:lineRule="auto"/>
              <w:jc w:val="center"/>
              <w:rPr>
                <w:rFonts w:hint="eastAsia" w:ascii="宋体" w:hAnsi="宋体" w:eastAsia="宋体" w:cs="宋体"/>
                <w:bCs/>
                <w:szCs w:val="21"/>
              </w:rPr>
            </w:pPr>
            <w:r>
              <w:rPr>
                <w:rFonts w:hint="eastAsia" w:ascii="宋体" w:hAnsi="宋体" w:eastAsia="宋体" w:cs="宋体"/>
                <w:szCs w:val="21"/>
              </w:rPr>
              <w:t>内容和要求</w:t>
            </w:r>
          </w:p>
        </w:tc>
      </w:tr>
      <w:tr w14:paraId="7F409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3" w:type="pct"/>
            <w:tcBorders>
              <w:top w:val="single" w:color="auto" w:sz="4" w:space="0"/>
              <w:left w:val="single" w:color="auto" w:sz="4" w:space="0"/>
              <w:right w:val="single" w:color="auto" w:sz="4" w:space="0"/>
            </w:tcBorders>
            <w:noWrap w:val="0"/>
            <w:vAlign w:val="center"/>
          </w:tcPr>
          <w:p w14:paraId="0A2EC780">
            <w:pPr>
              <w:spacing w:line="360" w:lineRule="auto"/>
              <w:jc w:val="center"/>
              <w:rPr>
                <w:rFonts w:hint="eastAsia" w:ascii="宋体" w:hAnsi="宋体" w:eastAsia="宋体" w:cs="宋体"/>
                <w:szCs w:val="21"/>
              </w:rPr>
            </w:pPr>
          </w:p>
        </w:tc>
        <w:tc>
          <w:tcPr>
            <w:tcW w:w="488" w:type="pct"/>
            <w:tcBorders>
              <w:top w:val="single" w:color="auto" w:sz="4" w:space="0"/>
              <w:left w:val="single" w:color="auto" w:sz="4" w:space="0"/>
              <w:right w:val="single" w:color="auto" w:sz="4" w:space="0"/>
            </w:tcBorders>
            <w:noWrap w:val="0"/>
            <w:vAlign w:val="center"/>
          </w:tcPr>
          <w:p w14:paraId="379985AA">
            <w:pPr>
              <w:spacing w:line="360" w:lineRule="auto"/>
              <w:jc w:val="center"/>
              <w:rPr>
                <w:rFonts w:hint="eastAsia" w:ascii="宋体" w:hAnsi="宋体" w:eastAsia="宋体" w:cs="宋体"/>
                <w:szCs w:val="21"/>
              </w:rPr>
            </w:pPr>
          </w:p>
        </w:tc>
        <w:tc>
          <w:tcPr>
            <w:tcW w:w="284" w:type="pct"/>
            <w:tcBorders>
              <w:top w:val="single" w:color="auto" w:sz="4" w:space="0"/>
              <w:left w:val="single" w:color="auto" w:sz="4" w:space="0"/>
              <w:right w:val="single" w:color="auto" w:sz="4" w:space="0"/>
            </w:tcBorders>
            <w:noWrap w:val="0"/>
            <w:vAlign w:val="center"/>
          </w:tcPr>
          <w:p w14:paraId="16B6BA42">
            <w:pPr>
              <w:spacing w:line="360" w:lineRule="auto"/>
              <w:jc w:val="center"/>
              <w:rPr>
                <w:rFonts w:hint="eastAsia" w:ascii="宋体" w:hAnsi="宋体" w:eastAsia="宋体" w:cs="宋体"/>
                <w:szCs w:val="21"/>
              </w:rPr>
            </w:pPr>
          </w:p>
        </w:tc>
        <w:tc>
          <w:tcPr>
            <w:tcW w:w="3953" w:type="pct"/>
            <w:tcBorders>
              <w:top w:val="single" w:color="auto" w:sz="4" w:space="0"/>
              <w:left w:val="single" w:color="auto" w:sz="4" w:space="0"/>
              <w:bottom w:val="single" w:color="auto" w:sz="4" w:space="0"/>
              <w:right w:val="single" w:color="auto" w:sz="4" w:space="0"/>
            </w:tcBorders>
            <w:noWrap w:val="0"/>
            <w:vAlign w:val="center"/>
          </w:tcPr>
          <w:p w14:paraId="7709418F">
            <w:pPr>
              <w:keepNext w:val="0"/>
              <w:keepLines w:val="0"/>
              <w:pageBreakBefore w:val="0"/>
              <w:kinsoku/>
              <w:wordWrap/>
              <w:overflowPunct/>
              <w:topLinePunct w:val="0"/>
              <w:bidi w:val="0"/>
              <w:snapToGrid/>
              <w:spacing w:line="380" w:lineRule="exact"/>
              <w:rPr>
                <w:rFonts w:hint="eastAsia" w:ascii="宋体" w:hAnsi="宋体" w:eastAsia="宋体" w:cs="宋体"/>
                <w:b/>
                <w:color w:val="auto"/>
                <w:szCs w:val="21"/>
              </w:rPr>
            </w:pPr>
            <w:r>
              <w:rPr>
                <w:rFonts w:hint="eastAsia" w:ascii="宋体" w:hAnsi="宋体" w:eastAsia="宋体" w:cs="宋体"/>
                <w:b/>
                <w:color w:val="auto"/>
                <w:szCs w:val="21"/>
              </w:rPr>
              <w:t>一、基本情况</w:t>
            </w:r>
          </w:p>
          <w:p w14:paraId="21CA5C06">
            <w:pPr>
              <w:keepNext w:val="0"/>
              <w:keepLines w:val="0"/>
              <w:pageBreakBefore w:val="0"/>
              <w:kinsoku/>
              <w:wordWrap/>
              <w:overflowPunct/>
              <w:topLinePunct w:val="0"/>
              <w:bidi w:val="0"/>
              <w:snapToGrid/>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1.根据采购人实验室废弃物处置规范化管理要求，结合采购人各实验室、二级学院废弃物产生量，为避免废弃物长期积压造成重大安全隐患，现拟对采购人实验室危险废弃物处置进行采购。</w:t>
            </w:r>
          </w:p>
          <w:p w14:paraId="2ADB7970">
            <w:pPr>
              <w:keepNext w:val="0"/>
              <w:keepLines w:val="0"/>
              <w:pageBreakBefore w:val="0"/>
              <w:kinsoku/>
              <w:wordWrap/>
              <w:overflowPunct/>
              <w:topLinePunct w:val="0"/>
              <w:bidi w:val="0"/>
              <w:snapToGrid/>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lang w:bidi="ar"/>
              </w:rPr>
              <w:t>▲</w:t>
            </w:r>
            <w:r>
              <w:rPr>
                <w:rFonts w:hint="eastAsia" w:ascii="宋体" w:hAnsi="宋体" w:eastAsia="宋体" w:cs="宋体"/>
                <w:color w:val="auto"/>
                <w:szCs w:val="21"/>
              </w:rPr>
              <w:t>2.学校实验室废弃物种类主要包括:有机废(固)液、无机废(固)液、试剂空瓶等，目前暂存柜内存有含水银制品。成交供应商根据采购人实际产生的数量，在接到学校通知后进行处置。</w:t>
            </w:r>
            <w:r>
              <w:rPr>
                <w:rFonts w:hint="eastAsia" w:ascii="宋体" w:hAnsi="宋体" w:eastAsia="宋体" w:cs="宋体"/>
                <w:color w:val="auto"/>
                <w:szCs w:val="21"/>
                <w:lang w:val="en-US" w:eastAsia="zh-CN"/>
              </w:rPr>
              <w:t>最终结算</w:t>
            </w:r>
            <w:r>
              <w:rPr>
                <w:rFonts w:hint="eastAsia" w:ascii="宋体" w:hAnsi="宋体" w:eastAsia="宋体" w:cs="宋体"/>
                <w:color w:val="auto"/>
                <w:szCs w:val="21"/>
              </w:rPr>
              <w:t>费用按成交单价及交由成交供应商处置的实际数量进行结算。</w:t>
            </w:r>
          </w:p>
          <w:p w14:paraId="38B304BA">
            <w:pPr>
              <w:keepNext w:val="0"/>
              <w:keepLines w:val="0"/>
              <w:pageBreakBefore w:val="0"/>
              <w:kinsoku/>
              <w:wordWrap/>
              <w:overflowPunct/>
              <w:topLinePunct w:val="0"/>
              <w:bidi w:val="0"/>
              <w:snapToGrid/>
              <w:spacing w:line="380" w:lineRule="exact"/>
              <w:rPr>
                <w:rFonts w:hint="eastAsia" w:ascii="宋体" w:hAnsi="宋体" w:eastAsia="宋体" w:cs="宋体"/>
                <w:b/>
                <w:color w:val="auto"/>
                <w:szCs w:val="21"/>
              </w:rPr>
            </w:pPr>
            <w:r>
              <w:rPr>
                <w:rFonts w:hint="eastAsia" w:ascii="宋体" w:hAnsi="宋体" w:eastAsia="宋体" w:cs="宋体"/>
                <w:color w:val="auto"/>
                <w:kern w:val="0"/>
                <w:szCs w:val="21"/>
                <w:lang w:bidi="ar"/>
              </w:rPr>
              <w:t>▲</w:t>
            </w:r>
            <w:r>
              <w:rPr>
                <w:rFonts w:hint="eastAsia" w:ascii="宋体" w:hAnsi="宋体" w:eastAsia="宋体" w:cs="宋体"/>
                <w:b/>
                <w:color w:val="auto"/>
                <w:szCs w:val="21"/>
              </w:rPr>
              <w:t>二、服务内容及技术要求</w:t>
            </w:r>
          </w:p>
          <w:p w14:paraId="0161392B">
            <w:pPr>
              <w:keepNext w:val="0"/>
              <w:keepLines w:val="0"/>
              <w:pageBreakBefore w:val="0"/>
              <w:kinsoku/>
              <w:wordWrap/>
              <w:overflowPunct/>
              <w:topLinePunct w:val="0"/>
              <w:bidi w:val="0"/>
              <w:snapToGrid/>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1.成交</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对危险废物进取样分析，严格遵循《危险化学品安全管理条例》</w:t>
            </w:r>
            <w:r>
              <w:rPr>
                <w:rFonts w:hint="eastAsia" w:ascii="宋体" w:hAnsi="宋体" w:eastAsia="宋体" w:cs="宋体"/>
                <w:color w:val="auto"/>
                <w:szCs w:val="21"/>
                <w:lang w:eastAsia="zh-CN"/>
              </w:rPr>
              <w:t>、</w:t>
            </w:r>
            <w:r>
              <w:rPr>
                <w:rFonts w:hint="eastAsia" w:ascii="宋体" w:hAnsi="宋体" w:eastAsia="宋体" w:cs="宋体"/>
                <w:color w:val="auto"/>
                <w:szCs w:val="21"/>
              </w:rPr>
              <w:t>《中华人民共和国固体废物环境防治法》制定符合本</w:t>
            </w:r>
            <w:r>
              <w:rPr>
                <w:rFonts w:hint="eastAsia" w:ascii="宋体" w:hAnsi="宋体" w:eastAsia="宋体" w:cs="宋体"/>
                <w:color w:val="auto"/>
                <w:szCs w:val="21"/>
                <w:lang w:val="en-US" w:eastAsia="zh-CN"/>
              </w:rPr>
              <w:t>项目</w:t>
            </w:r>
            <w:r>
              <w:rPr>
                <w:rFonts w:hint="eastAsia" w:ascii="宋体" w:hAnsi="宋体" w:eastAsia="宋体" w:cs="宋体"/>
                <w:color w:val="auto"/>
                <w:szCs w:val="21"/>
              </w:rPr>
              <w:t>辖区生态环境要求的处理工艺决策进行处置，提供安全处置报告及清单回执。</w:t>
            </w:r>
          </w:p>
          <w:p w14:paraId="4126CA93">
            <w:pPr>
              <w:keepNext w:val="0"/>
              <w:keepLines w:val="0"/>
              <w:pageBreakBefore w:val="0"/>
              <w:kinsoku/>
              <w:wordWrap/>
              <w:overflowPunct/>
              <w:topLinePunct w:val="0"/>
              <w:bidi w:val="0"/>
              <w:snapToGrid/>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rPr>
              <w:t>成交供应商</w:t>
            </w:r>
            <w:r>
              <w:rPr>
                <w:rFonts w:hint="eastAsia" w:ascii="宋体" w:hAnsi="宋体" w:eastAsia="宋体" w:cs="宋体"/>
                <w:color w:val="auto"/>
                <w:kern w:val="0"/>
                <w:szCs w:val="21"/>
              </w:rPr>
              <w:t>负责提供</w:t>
            </w:r>
            <w:r>
              <w:rPr>
                <w:rFonts w:hint="eastAsia" w:ascii="宋体" w:hAnsi="宋体" w:eastAsia="宋体" w:cs="宋体"/>
                <w:color w:val="auto"/>
                <w:szCs w:val="21"/>
              </w:rPr>
              <w:t>专业危险废弃物运输车辆。车辆、驾驶员、押运员相关证件齐全，符合法律法规的相关规定。制定有运输途中突发事故处理预案。单日可集中安排到采购人单位实际运输量不少于5吨。</w:t>
            </w:r>
          </w:p>
          <w:p w14:paraId="45797BBE">
            <w:pPr>
              <w:keepNext w:val="0"/>
              <w:keepLines w:val="0"/>
              <w:pageBreakBefore w:val="0"/>
              <w:kinsoku/>
              <w:wordWrap/>
              <w:overflowPunct/>
              <w:topLinePunct w:val="0"/>
              <w:bidi w:val="0"/>
              <w:snapToGrid/>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3.成交供应商对危险废弃物严格按照国家、行业、地方政府的法律法规等规定要求进行处置，不得使用违规方式进行处置。</w:t>
            </w:r>
          </w:p>
          <w:p w14:paraId="7CBCCE43">
            <w:pPr>
              <w:keepNext w:val="0"/>
              <w:keepLines w:val="0"/>
              <w:pageBreakBefore w:val="0"/>
              <w:kinsoku/>
              <w:wordWrap/>
              <w:overflowPunct/>
              <w:topLinePunct w:val="0"/>
              <w:bidi w:val="0"/>
              <w:snapToGrid/>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4.成交供应商指派专人、专车到采购人校园内</w:t>
            </w:r>
            <w:r>
              <w:rPr>
                <w:rFonts w:hint="eastAsia" w:ascii="宋体" w:hAnsi="宋体" w:eastAsia="宋体" w:cs="宋体"/>
                <w:color w:val="auto"/>
                <w:kern w:val="0"/>
                <w:szCs w:val="21"/>
              </w:rPr>
              <w:t>所有教学科研单位产生的实验室废弃物开展定点回收、搬运、装车、运输、处置等工作</w:t>
            </w:r>
            <w:r>
              <w:rPr>
                <w:rFonts w:hint="eastAsia" w:ascii="宋体" w:hAnsi="宋体" w:eastAsia="宋体" w:cs="宋体"/>
                <w:color w:val="auto"/>
                <w:szCs w:val="21"/>
              </w:rPr>
              <w:t>，人员须经过专业培训，并现场办理完毕移交手续。</w:t>
            </w:r>
          </w:p>
          <w:p w14:paraId="79FB6749">
            <w:pPr>
              <w:keepNext w:val="0"/>
              <w:keepLines w:val="0"/>
              <w:pageBreakBefore w:val="0"/>
              <w:kinsoku/>
              <w:wordWrap/>
              <w:overflowPunct/>
              <w:topLinePunct w:val="0"/>
              <w:bidi w:val="0"/>
              <w:snapToGrid/>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5.采购人提出后续处置需求后，成交供应商</w:t>
            </w:r>
            <w:r>
              <w:rPr>
                <w:rFonts w:hint="eastAsia" w:ascii="宋体" w:hAnsi="宋体" w:eastAsia="宋体" w:cs="宋体"/>
                <w:color w:val="auto"/>
                <w:szCs w:val="21"/>
                <w:lang w:val="en-US" w:eastAsia="zh-CN"/>
              </w:rPr>
              <w:t>应在</w:t>
            </w:r>
            <w:r>
              <w:rPr>
                <w:rFonts w:hint="eastAsia" w:ascii="宋体" w:hAnsi="宋体" w:eastAsia="宋体" w:cs="宋体"/>
                <w:color w:val="auto"/>
                <w:szCs w:val="21"/>
              </w:rPr>
              <w:t>48小时内到达指定区域并完成废弃物回收、搬运、装车、运输和处置。如遇隐患整改等紧急情况，应在24小时内完成危险废弃物回收处置服务。</w:t>
            </w:r>
          </w:p>
          <w:p w14:paraId="112CB68C">
            <w:pPr>
              <w:keepNext w:val="0"/>
              <w:keepLines w:val="0"/>
              <w:pageBreakBefore w:val="0"/>
              <w:kinsoku/>
              <w:wordWrap/>
              <w:overflowPunct/>
              <w:topLinePunct w:val="0"/>
              <w:bidi w:val="0"/>
              <w:snapToGrid/>
              <w:spacing w:line="38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rPr>
              <w:t>6.现场服务。</w:t>
            </w:r>
            <w:r>
              <w:rPr>
                <w:rFonts w:hint="eastAsia" w:ascii="宋体" w:hAnsi="宋体" w:eastAsia="宋体" w:cs="宋体"/>
                <w:color w:val="auto"/>
                <w:kern w:val="0"/>
                <w:szCs w:val="21"/>
              </w:rPr>
              <w:t>成交供应商必须安排专业技术人员进行现场服务。现场服务内容包括但不限于技术指导、安全分类包装、粘贴危废标签、按包装称重、搬运装车等。所需的称重工具、劳保工具、防渗漏工具、搬运板车、危废标签等由</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rPr>
              <w:t>供应商自备。装车完毕后，现场服务人员应保证现场基本清洁。成交供应商按包装进行危险废弃物现场称重并记录，双方工作人员书面确认件数、重量、种类，以便跟踪管理与结算。</w:t>
            </w:r>
          </w:p>
          <w:p w14:paraId="18E55475">
            <w:pPr>
              <w:keepNext w:val="0"/>
              <w:keepLines w:val="0"/>
              <w:pageBreakBefore w:val="0"/>
              <w:kinsoku/>
              <w:wordWrap/>
              <w:overflowPunct/>
              <w:topLinePunct w:val="0"/>
              <w:bidi w:val="0"/>
              <w:snapToGrid/>
              <w:spacing w:line="38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7.废弃物包装。成交供应商负责对实验室危险废弃物进行合理、安全且可靠的包装，提供危险废弃物包装所需的包装容器耗材，如废液桶、收纳箱、防渗漏编织袋等。</w:t>
            </w:r>
          </w:p>
          <w:p w14:paraId="5CEAF477">
            <w:pPr>
              <w:keepNext w:val="0"/>
              <w:keepLines w:val="0"/>
              <w:pageBreakBefore w:val="0"/>
              <w:kinsoku/>
              <w:wordWrap/>
              <w:overflowPunct/>
              <w:topLinePunct w:val="0"/>
              <w:bidi w:val="0"/>
              <w:snapToGrid/>
              <w:spacing w:line="380" w:lineRule="exact"/>
              <w:ind w:firstLine="420" w:firstLineChars="200"/>
              <w:rPr>
                <w:rFonts w:hint="eastAsia" w:ascii="宋体" w:hAnsi="宋体" w:eastAsia="宋体" w:cs="宋体"/>
                <w:color w:val="auto"/>
              </w:rPr>
            </w:pPr>
            <w:r>
              <w:rPr>
                <w:rFonts w:hint="eastAsia" w:ascii="宋体" w:hAnsi="宋体" w:eastAsia="宋体" w:cs="宋体"/>
                <w:color w:val="auto"/>
                <w:kern w:val="0"/>
                <w:szCs w:val="21"/>
              </w:rPr>
              <w:t>8.教育培训。</w:t>
            </w:r>
            <w:r>
              <w:rPr>
                <w:rFonts w:hint="eastAsia" w:ascii="宋体" w:hAnsi="宋体" w:eastAsia="宋体" w:cs="宋体"/>
                <w:color w:val="auto"/>
              </w:rPr>
              <w:t>合同有效期内，成交供应商向学校提供危险废弃物处置知识宣传资料若干份或宣传展架5个。</w:t>
            </w:r>
          </w:p>
          <w:p w14:paraId="10EA6712">
            <w:pPr>
              <w:keepNext w:val="0"/>
              <w:keepLines w:val="0"/>
              <w:pageBreakBefore w:val="0"/>
              <w:kinsoku/>
              <w:wordWrap/>
              <w:overflowPunct/>
              <w:topLinePunct w:val="0"/>
              <w:bidi w:val="0"/>
              <w:snapToGrid/>
              <w:spacing w:line="380" w:lineRule="exact"/>
              <w:ind w:firstLine="420" w:firstLineChars="200"/>
              <w:rPr>
                <w:rFonts w:hint="eastAsia" w:ascii="宋体" w:hAnsi="宋体" w:eastAsia="宋体" w:cs="宋体"/>
                <w:color w:val="auto"/>
              </w:rPr>
            </w:pPr>
            <w:r>
              <w:rPr>
                <w:rFonts w:hint="eastAsia" w:ascii="宋体" w:hAnsi="宋体" w:eastAsia="宋体" w:cs="宋体"/>
                <w:color w:val="auto"/>
                <w:kern w:val="0"/>
                <w:szCs w:val="21"/>
              </w:rPr>
              <w:t>9.手续办理。成交供应商</w:t>
            </w:r>
            <w:r>
              <w:rPr>
                <w:rFonts w:hint="eastAsia" w:ascii="宋体" w:hAnsi="宋体" w:eastAsia="宋体" w:cs="宋体"/>
                <w:color w:val="auto"/>
              </w:rPr>
              <w:t>负责办理相关线上危险废弃物转移报批手续，积极协助采购人办理线上危险废弃物的申报等手续工作。</w:t>
            </w:r>
          </w:p>
          <w:p w14:paraId="01DA4E46">
            <w:pPr>
              <w:keepNext w:val="0"/>
              <w:keepLines w:val="0"/>
              <w:pageBreakBefore w:val="0"/>
              <w:kinsoku/>
              <w:wordWrap/>
              <w:overflowPunct/>
              <w:topLinePunct w:val="0"/>
              <w:bidi w:val="0"/>
              <w:snapToGrid/>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10.</w:t>
            </w:r>
            <w:r>
              <w:rPr>
                <w:rFonts w:hint="eastAsia" w:ascii="宋体" w:hAnsi="宋体" w:eastAsia="宋体" w:cs="宋体"/>
                <w:color w:val="auto"/>
                <w:kern w:val="0"/>
                <w:szCs w:val="21"/>
              </w:rPr>
              <w:t>成交供应商</w:t>
            </w:r>
            <w:r>
              <w:rPr>
                <w:rFonts w:hint="eastAsia" w:ascii="宋体" w:hAnsi="宋体" w:eastAsia="宋体" w:cs="宋体"/>
                <w:color w:val="auto"/>
                <w:szCs w:val="21"/>
              </w:rPr>
              <w:t xml:space="preserve">对危险废物进行取样分析，处理工艺决策，进行无害化处理处置，并提供安全处置报告清单回执。 </w:t>
            </w:r>
          </w:p>
          <w:p w14:paraId="11AD0D34">
            <w:pPr>
              <w:keepNext w:val="0"/>
              <w:keepLines w:val="0"/>
              <w:pageBreakBefore w:val="0"/>
              <w:kinsoku/>
              <w:wordWrap/>
              <w:overflowPunct/>
              <w:topLinePunct w:val="0"/>
              <w:bidi w:val="0"/>
              <w:snapToGrid/>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11.对危险废弃物安全妥善收集、运输和处理处置，处置过程中废水、废气排放达到企业环境影响报告书及环境影响报告书批复中要求的排放标准。</w:t>
            </w:r>
          </w:p>
          <w:p w14:paraId="7FB85A4B">
            <w:pPr>
              <w:keepNext w:val="0"/>
              <w:keepLines w:val="0"/>
              <w:pageBreakBefore w:val="0"/>
              <w:kinsoku/>
              <w:wordWrap/>
              <w:overflowPunct/>
              <w:topLinePunct w:val="0"/>
              <w:bidi w:val="0"/>
              <w:snapToGrid/>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eastAsia="宋体" w:cs="宋体"/>
                <w:color w:val="auto"/>
                <w:kern w:val="0"/>
                <w:szCs w:val="21"/>
              </w:rPr>
              <w:t>成交供应商</w:t>
            </w:r>
            <w:r>
              <w:rPr>
                <w:rFonts w:hint="eastAsia" w:ascii="宋体" w:hAnsi="宋体" w:eastAsia="宋体" w:cs="宋体"/>
                <w:color w:val="auto"/>
              </w:rPr>
              <w:t>在危险废弃物无害化处理过程中，符合国</w:t>
            </w:r>
            <w:bookmarkStart w:id="1" w:name="_GoBack"/>
            <w:bookmarkEnd w:id="1"/>
            <w:r>
              <w:rPr>
                <w:rFonts w:hint="eastAsia" w:ascii="宋体" w:hAnsi="宋体" w:eastAsia="宋体" w:cs="宋体"/>
                <w:color w:val="auto"/>
              </w:rPr>
              <w:t>家有关生态环境规定的环保和标准，由危险废弃物或处理程序所导致或引起的全部健康、安全、运输和环境危害责任由成交供应商自负。</w:t>
            </w:r>
          </w:p>
          <w:p w14:paraId="78E26B74">
            <w:pPr>
              <w:keepNext w:val="0"/>
              <w:keepLines w:val="0"/>
              <w:pageBreakBefore w:val="0"/>
              <w:kinsoku/>
              <w:wordWrap/>
              <w:overflowPunct/>
              <w:topLinePunct w:val="0"/>
              <w:bidi w:val="0"/>
              <w:snapToGrid/>
              <w:spacing w:line="380" w:lineRule="exact"/>
              <w:rPr>
                <w:rFonts w:hint="eastAsia" w:ascii="宋体" w:hAnsi="宋体" w:eastAsia="宋体" w:cs="宋体"/>
                <w:b/>
                <w:color w:val="auto"/>
                <w:szCs w:val="21"/>
              </w:rPr>
            </w:pPr>
            <w:r>
              <w:rPr>
                <w:rFonts w:hint="eastAsia" w:ascii="宋体" w:hAnsi="宋体" w:eastAsia="宋体" w:cs="宋体"/>
                <w:color w:val="auto"/>
                <w:kern w:val="0"/>
                <w:szCs w:val="21"/>
                <w:lang w:bidi="ar"/>
              </w:rPr>
              <w:t>▲</w:t>
            </w:r>
            <w:r>
              <w:rPr>
                <w:rFonts w:hint="eastAsia" w:ascii="宋体" w:hAnsi="宋体" w:eastAsia="宋体" w:cs="宋体"/>
                <w:b/>
                <w:color w:val="auto"/>
                <w:szCs w:val="21"/>
              </w:rPr>
              <w:t xml:space="preserve">三、验收标准 </w:t>
            </w:r>
          </w:p>
          <w:p w14:paraId="091ED8AE">
            <w:pPr>
              <w:keepNext w:val="0"/>
              <w:keepLines w:val="0"/>
              <w:pageBreakBefore w:val="0"/>
              <w:kinsoku/>
              <w:wordWrap/>
              <w:overflowPunct/>
              <w:topLinePunct w:val="0"/>
              <w:bidi w:val="0"/>
              <w:snapToGrid/>
              <w:spacing w:line="38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kern w:val="0"/>
                <w:szCs w:val="21"/>
              </w:rPr>
              <w:t>成交供应商</w:t>
            </w:r>
            <w:r>
              <w:rPr>
                <w:rFonts w:hint="eastAsia" w:ascii="宋体" w:hAnsi="宋体" w:eastAsia="宋体" w:cs="宋体"/>
                <w:color w:val="auto"/>
                <w:szCs w:val="21"/>
              </w:rPr>
              <w:t>对危险废物进取样分析，严格遵循《危险化学品安全管理条例》、《中华人民共和国固体废物环境防治法》制定符合本</w:t>
            </w:r>
            <w:r>
              <w:rPr>
                <w:rFonts w:hint="eastAsia" w:ascii="宋体" w:hAnsi="宋体" w:eastAsia="宋体" w:cs="宋体"/>
                <w:color w:val="auto"/>
                <w:szCs w:val="21"/>
                <w:shd w:val="clear" w:color="auto" w:fill="auto"/>
                <w:lang w:val="en-US" w:eastAsia="zh-CN"/>
              </w:rPr>
              <w:t>项目</w:t>
            </w:r>
            <w:r>
              <w:rPr>
                <w:rFonts w:hint="eastAsia" w:ascii="宋体" w:hAnsi="宋体" w:eastAsia="宋体" w:cs="宋体"/>
                <w:color w:val="auto"/>
                <w:szCs w:val="21"/>
              </w:rPr>
              <w:t>辖区生态环境要求的处理工艺决策进行处置，提供安全处置报告及清单回执。</w:t>
            </w:r>
          </w:p>
          <w:p w14:paraId="508C6FC3">
            <w:pPr>
              <w:keepNext w:val="0"/>
              <w:keepLines w:val="0"/>
              <w:pageBreakBefore w:val="0"/>
              <w:kinsoku/>
              <w:wordWrap/>
              <w:overflowPunct/>
              <w:topLinePunct w:val="0"/>
              <w:bidi w:val="0"/>
              <w:snapToGrid/>
              <w:spacing w:line="38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rPr>
              <w:t xml:space="preserve"> </w:t>
            </w:r>
            <w:r>
              <w:rPr>
                <w:rFonts w:hint="eastAsia" w:ascii="宋体" w:hAnsi="宋体" w:eastAsia="宋体" w:cs="宋体"/>
                <w:color w:val="auto"/>
                <w:szCs w:val="21"/>
              </w:rPr>
              <w:t>采购人负责现场监督，后勤基建处、学科办全程执行现场监督工作，采购人（后勤基建处、</w:t>
            </w:r>
            <w:r>
              <w:rPr>
                <w:rFonts w:hint="eastAsia" w:ascii="宋体" w:hAnsi="宋体" w:eastAsia="宋体" w:cs="宋体"/>
                <w:color w:val="auto"/>
                <w:szCs w:val="21"/>
                <w:shd w:val="clear" w:color="FFFFFF" w:fill="auto"/>
                <w:lang w:eastAsia="zh-CN"/>
              </w:rPr>
              <w:t>科技处、</w:t>
            </w:r>
            <w:r>
              <w:rPr>
                <w:rFonts w:hint="eastAsia" w:ascii="宋体" w:hAnsi="宋体" w:eastAsia="宋体" w:cs="宋体"/>
                <w:color w:val="auto"/>
                <w:szCs w:val="21"/>
                <w:shd w:val="clear" w:color="FFFFFF" w:fill="auto"/>
                <w:lang w:val="en-US" w:eastAsia="zh-CN"/>
              </w:rPr>
              <w:t>学校各产废部门</w:t>
            </w:r>
            <w:r>
              <w:rPr>
                <w:rFonts w:hint="eastAsia" w:ascii="宋体" w:hAnsi="宋体" w:eastAsia="宋体" w:cs="宋体"/>
                <w:color w:val="auto"/>
                <w:szCs w:val="21"/>
                <w:shd w:val="clear" w:color="auto" w:fill="auto"/>
              </w:rPr>
              <w:t>）</w:t>
            </w:r>
            <w:r>
              <w:rPr>
                <w:rFonts w:hint="eastAsia" w:ascii="宋体" w:hAnsi="宋体" w:eastAsia="宋体" w:cs="宋体"/>
                <w:color w:val="auto"/>
                <w:szCs w:val="21"/>
              </w:rPr>
              <w:t>与成交供应商</w:t>
            </w:r>
            <w:r>
              <w:rPr>
                <w:rFonts w:hint="eastAsia" w:ascii="宋体" w:hAnsi="宋体" w:eastAsia="宋体" w:cs="宋体"/>
                <w:color w:val="auto"/>
                <w:szCs w:val="21"/>
                <w:lang w:val="en-US" w:eastAsia="zh-CN"/>
              </w:rPr>
              <w:t>多</w:t>
            </w:r>
            <w:r>
              <w:rPr>
                <w:rFonts w:hint="eastAsia" w:ascii="宋体" w:hAnsi="宋体" w:eastAsia="宋体" w:cs="宋体"/>
                <w:color w:val="auto"/>
                <w:szCs w:val="21"/>
              </w:rPr>
              <w:t>方签字确认清运废物品名（种类）和重量后凭最终对账单、转移联单、安全处置报告及回执付款，成交供应商开具相应发票、收集现场签收凭证及协助处置上传相关法规要求的网站备案。</w:t>
            </w:r>
          </w:p>
          <w:p w14:paraId="400DA293">
            <w:pPr>
              <w:keepNext w:val="0"/>
              <w:keepLines w:val="0"/>
              <w:pageBreakBefore w:val="0"/>
              <w:kinsoku/>
              <w:wordWrap/>
              <w:overflowPunct/>
              <w:topLinePunct w:val="0"/>
              <w:bidi w:val="0"/>
              <w:snapToGrid/>
              <w:spacing w:line="38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3.如遇隐患整改等紧急情况，</w:t>
            </w:r>
            <w:r>
              <w:rPr>
                <w:rFonts w:hint="eastAsia" w:ascii="宋体" w:hAnsi="宋体" w:eastAsia="宋体" w:cs="宋体"/>
                <w:color w:val="auto"/>
                <w:kern w:val="0"/>
                <w:szCs w:val="21"/>
              </w:rPr>
              <w:t>成交供应商</w:t>
            </w:r>
            <w:r>
              <w:rPr>
                <w:rFonts w:hint="eastAsia" w:ascii="宋体" w:hAnsi="宋体" w:eastAsia="宋体" w:cs="宋体"/>
                <w:color w:val="auto"/>
                <w:szCs w:val="21"/>
              </w:rPr>
              <w:t>在接到采购人通知后，如未在24小时内到达指定区域废弃物现场并完成应急处置，需向采购人支付本</w:t>
            </w:r>
            <w:r>
              <w:rPr>
                <w:rFonts w:hint="eastAsia" w:ascii="宋体" w:hAnsi="宋体" w:eastAsia="宋体" w:cs="宋体"/>
                <w:color w:val="auto"/>
                <w:szCs w:val="21"/>
                <w:lang w:eastAsia="zh-CN"/>
              </w:rPr>
              <w:t>合同危废</w:t>
            </w:r>
            <w:r>
              <w:rPr>
                <w:rFonts w:hint="eastAsia" w:ascii="宋体" w:hAnsi="宋体" w:eastAsia="宋体" w:cs="宋体"/>
                <w:color w:val="auto"/>
                <w:szCs w:val="21"/>
              </w:rPr>
              <w:t xml:space="preserve">处置费用总值5%的违约金，如由此引发安全责任，成交供应商还应承担赔偿责任。 </w:t>
            </w:r>
          </w:p>
          <w:p w14:paraId="627454FC">
            <w:pPr>
              <w:keepNext w:val="0"/>
              <w:keepLines w:val="0"/>
              <w:pageBreakBefore w:val="0"/>
              <w:kinsoku/>
              <w:wordWrap/>
              <w:overflowPunct/>
              <w:topLinePunct w:val="0"/>
              <w:bidi w:val="0"/>
              <w:snapToGrid/>
              <w:spacing w:line="380" w:lineRule="exact"/>
              <w:ind w:firstLine="420" w:firstLineChars="200"/>
              <w:jc w:val="left"/>
              <w:rPr>
                <w:rFonts w:hint="eastAsia" w:ascii="宋体" w:hAnsi="宋体" w:eastAsia="宋体" w:cs="宋体"/>
                <w:szCs w:val="21"/>
              </w:rPr>
            </w:pPr>
            <w:r>
              <w:rPr>
                <w:rFonts w:hint="eastAsia" w:ascii="宋体" w:hAnsi="宋体" w:eastAsia="宋体" w:cs="宋体"/>
                <w:color w:val="auto"/>
                <w:szCs w:val="21"/>
              </w:rPr>
              <w:t>4.</w:t>
            </w:r>
            <w:r>
              <w:rPr>
                <w:rFonts w:hint="eastAsia" w:ascii="宋体" w:hAnsi="宋体" w:eastAsia="宋体" w:cs="宋体"/>
                <w:color w:val="auto"/>
                <w:kern w:val="0"/>
                <w:szCs w:val="21"/>
              </w:rPr>
              <w:t>成交供应商</w:t>
            </w:r>
            <w:r>
              <w:rPr>
                <w:rFonts w:hint="eastAsia" w:ascii="宋体" w:hAnsi="宋体" w:eastAsia="宋体" w:cs="宋体"/>
                <w:color w:val="auto"/>
                <w:szCs w:val="21"/>
              </w:rPr>
              <w:t>在合同履行期间提供的服务必须与竞标时承诺提供的服务条款完全一致，不存在任何偏差，如出现不一致，</w:t>
            </w:r>
            <w:r>
              <w:rPr>
                <w:rFonts w:hint="eastAsia" w:ascii="宋体" w:hAnsi="宋体" w:eastAsia="宋体" w:cs="宋体"/>
                <w:color w:val="auto"/>
                <w:kern w:val="0"/>
                <w:szCs w:val="21"/>
                <w:highlight w:val="none"/>
              </w:rPr>
              <w:t>成交供应商</w:t>
            </w:r>
            <w:r>
              <w:rPr>
                <w:rFonts w:hint="eastAsia" w:ascii="宋体" w:hAnsi="宋体" w:eastAsia="宋体" w:cs="宋体"/>
                <w:color w:val="auto"/>
                <w:szCs w:val="21"/>
                <w:highlight w:val="none"/>
              </w:rPr>
              <w:t>需向采购人支付本</w:t>
            </w:r>
            <w:r>
              <w:rPr>
                <w:rFonts w:hint="eastAsia" w:ascii="宋体" w:hAnsi="宋体" w:eastAsia="宋体" w:cs="宋体"/>
                <w:color w:val="auto"/>
                <w:szCs w:val="21"/>
                <w:highlight w:val="none"/>
                <w:lang w:eastAsia="zh-CN"/>
              </w:rPr>
              <w:t>合同危险</w:t>
            </w:r>
            <w:r>
              <w:rPr>
                <w:rFonts w:hint="eastAsia" w:ascii="宋体" w:hAnsi="宋体" w:eastAsia="宋体" w:cs="宋体"/>
                <w:color w:val="auto"/>
                <w:szCs w:val="21"/>
                <w:highlight w:val="none"/>
              </w:rPr>
              <w:t>废物处置费用总值5%的违约金。</w:t>
            </w:r>
          </w:p>
        </w:tc>
      </w:tr>
      <w:tr w14:paraId="06CC5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7F6B01A">
            <w:pPr>
              <w:spacing w:line="360" w:lineRule="auto"/>
              <w:rPr>
                <w:rFonts w:hint="eastAsia" w:ascii="宋体" w:hAnsi="宋体" w:eastAsia="宋体" w:cs="宋体"/>
                <w:b/>
                <w:color w:val="auto"/>
                <w:szCs w:val="21"/>
              </w:rPr>
            </w:pPr>
            <w:r>
              <w:rPr>
                <w:rFonts w:hint="eastAsia" w:ascii="宋体" w:hAnsi="宋体" w:eastAsia="宋体" w:cs="宋体"/>
                <w:color w:val="auto"/>
                <w:szCs w:val="21"/>
              </w:rPr>
              <w:t>▲</w:t>
            </w:r>
            <w:r>
              <w:rPr>
                <w:rFonts w:hint="eastAsia" w:ascii="宋体" w:hAnsi="宋体" w:eastAsia="宋体" w:cs="宋体"/>
                <w:b/>
                <w:color w:val="auto"/>
                <w:szCs w:val="21"/>
              </w:rPr>
              <w:t>二、商务条款</w:t>
            </w:r>
          </w:p>
        </w:tc>
      </w:tr>
      <w:tr w14:paraId="0C209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2" w:type="pct"/>
            <w:gridSpan w:val="2"/>
            <w:tcBorders>
              <w:top w:val="single" w:color="auto" w:sz="4" w:space="0"/>
              <w:left w:val="single" w:color="auto" w:sz="4" w:space="0"/>
              <w:bottom w:val="single" w:color="auto" w:sz="4" w:space="0"/>
              <w:right w:val="single" w:color="auto" w:sz="4" w:space="0"/>
            </w:tcBorders>
            <w:noWrap w:val="0"/>
            <w:vAlign w:val="center"/>
          </w:tcPr>
          <w:p w14:paraId="129245FB">
            <w:pPr>
              <w:spacing w:line="360" w:lineRule="auto"/>
              <w:rPr>
                <w:rFonts w:hint="eastAsia" w:ascii="宋体" w:hAnsi="宋体" w:eastAsia="宋体" w:cs="宋体"/>
                <w:szCs w:val="21"/>
              </w:rPr>
            </w:pPr>
            <w:r>
              <w:rPr>
                <w:rFonts w:hint="eastAsia" w:ascii="宋体" w:hAnsi="宋体" w:eastAsia="宋体" w:cs="宋体"/>
                <w:szCs w:val="21"/>
              </w:rPr>
              <w:t>实施工作要求</w:t>
            </w:r>
          </w:p>
        </w:tc>
        <w:tc>
          <w:tcPr>
            <w:tcW w:w="4237" w:type="pct"/>
            <w:gridSpan w:val="2"/>
            <w:tcBorders>
              <w:top w:val="single" w:color="auto" w:sz="4" w:space="0"/>
              <w:left w:val="single" w:color="auto" w:sz="4" w:space="0"/>
              <w:bottom w:val="single" w:color="auto" w:sz="4" w:space="0"/>
              <w:right w:val="single" w:color="auto" w:sz="4" w:space="0"/>
            </w:tcBorders>
            <w:noWrap w:val="0"/>
            <w:vAlign w:val="center"/>
          </w:tcPr>
          <w:p w14:paraId="21341E1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服务期限内，对采购人校园内所有教学科研单位</w:t>
            </w:r>
            <w:r>
              <w:rPr>
                <w:rFonts w:hint="eastAsia" w:ascii="宋体" w:hAnsi="宋体" w:eastAsia="宋体" w:cs="宋体"/>
                <w:szCs w:val="21"/>
                <w:lang w:val="en-US" w:eastAsia="zh-CN"/>
              </w:rPr>
              <w:t>或部门</w:t>
            </w:r>
            <w:r>
              <w:rPr>
                <w:rFonts w:hint="eastAsia" w:ascii="宋体" w:hAnsi="宋体" w:eastAsia="宋体" w:cs="宋体"/>
                <w:szCs w:val="21"/>
              </w:rPr>
              <w:t>产生的实验室废弃物进行定点回收、搬运、装车、运输、处置。服务过程中要求危险废弃物回收及时、包装妥当、安全有序，符合采购人要求及本项目现场安全管理规范，遵守国家和地方的相关法律法规。</w:t>
            </w:r>
          </w:p>
        </w:tc>
      </w:tr>
      <w:tr w14:paraId="073F8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62" w:type="pct"/>
            <w:gridSpan w:val="2"/>
            <w:tcBorders>
              <w:top w:val="single" w:color="auto" w:sz="4" w:space="0"/>
              <w:left w:val="single" w:color="auto" w:sz="4" w:space="0"/>
              <w:bottom w:val="single" w:color="auto" w:sz="4" w:space="0"/>
              <w:right w:val="single" w:color="auto" w:sz="4" w:space="0"/>
            </w:tcBorders>
            <w:noWrap w:val="0"/>
            <w:vAlign w:val="center"/>
          </w:tcPr>
          <w:p w14:paraId="50998CC8">
            <w:pPr>
              <w:spacing w:line="360" w:lineRule="auto"/>
              <w:rPr>
                <w:rFonts w:hint="eastAsia" w:ascii="宋体" w:hAnsi="宋体" w:eastAsia="宋体" w:cs="宋体"/>
                <w:szCs w:val="21"/>
              </w:rPr>
            </w:pPr>
            <w:r>
              <w:rPr>
                <w:rFonts w:hint="eastAsia" w:ascii="宋体" w:hAnsi="宋体" w:eastAsia="宋体" w:cs="宋体"/>
                <w:kern w:val="0"/>
                <w:szCs w:val="21"/>
                <w:lang w:bidi="ar"/>
              </w:rPr>
              <w:t>服务</w:t>
            </w:r>
            <w:r>
              <w:rPr>
                <w:rFonts w:hint="eastAsia" w:ascii="宋体" w:hAnsi="宋体" w:eastAsia="宋体" w:cs="宋体"/>
                <w:szCs w:val="21"/>
              </w:rPr>
              <w:t>时间及地点</w:t>
            </w:r>
          </w:p>
        </w:tc>
        <w:tc>
          <w:tcPr>
            <w:tcW w:w="4237" w:type="pct"/>
            <w:gridSpan w:val="2"/>
            <w:tcBorders>
              <w:top w:val="single" w:color="auto" w:sz="4" w:space="0"/>
              <w:left w:val="single" w:color="auto" w:sz="4" w:space="0"/>
              <w:bottom w:val="single" w:color="auto" w:sz="4" w:space="0"/>
              <w:right w:val="single" w:color="auto" w:sz="4" w:space="0"/>
            </w:tcBorders>
            <w:noWrap w:val="0"/>
            <w:vAlign w:val="center"/>
          </w:tcPr>
          <w:p w14:paraId="4E508B5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1.服务时间要求：</w:t>
            </w:r>
          </w:p>
          <w:p w14:paraId="00F38A1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服务时间：</w:t>
            </w:r>
            <w:r>
              <w:rPr>
                <w:rFonts w:hint="eastAsia" w:ascii="宋体" w:hAnsi="宋体" w:eastAsia="宋体" w:cs="宋体"/>
                <w:color w:val="auto"/>
                <w:szCs w:val="21"/>
                <w:highlight w:val="none"/>
                <w:lang w:val="en-US" w:eastAsia="zh-CN"/>
              </w:rPr>
              <w:t>自合同签订之日起壹年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供应商危废处置服务</w:t>
            </w:r>
            <w:r>
              <w:rPr>
                <w:rFonts w:hint="eastAsia" w:ascii="宋体" w:hAnsi="宋体" w:eastAsia="宋体" w:cs="宋体"/>
                <w:color w:val="auto"/>
                <w:szCs w:val="21"/>
                <w:highlight w:val="none"/>
              </w:rPr>
              <w:t>在接到学校通知后48小时内到达指定区域完成</w:t>
            </w:r>
            <w:r>
              <w:rPr>
                <w:rFonts w:hint="eastAsia" w:ascii="宋体" w:hAnsi="宋体" w:eastAsia="宋体" w:cs="宋体"/>
                <w:color w:val="auto"/>
                <w:szCs w:val="21"/>
                <w:highlight w:val="none"/>
                <w:lang w:eastAsia="zh-CN"/>
              </w:rPr>
              <w:t>危险废物</w:t>
            </w:r>
            <w:r>
              <w:rPr>
                <w:rFonts w:hint="eastAsia" w:ascii="宋体" w:hAnsi="宋体" w:eastAsia="宋体" w:cs="宋体"/>
                <w:color w:val="auto"/>
                <w:szCs w:val="21"/>
                <w:highlight w:val="none"/>
              </w:rPr>
              <w:t>清运处置工作，如遇隐患整改</w:t>
            </w:r>
            <w:r>
              <w:rPr>
                <w:rFonts w:hint="eastAsia" w:ascii="宋体" w:hAnsi="宋体" w:eastAsia="宋体" w:cs="宋体"/>
                <w:color w:val="auto"/>
                <w:szCs w:val="21"/>
                <w:highlight w:val="none"/>
                <w:lang w:eastAsia="zh-CN"/>
              </w:rPr>
              <w:t>及学校紧急处置通知</w:t>
            </w:r>
            <w:r>
              <w:rPr>
                <w:rFonts w:hint="eastAsia" w:ascii="宋体" w:hAnsi="宋体" w:eastAsia="宋体" w:cs="宋体"/>
                <w:color w:val="auto"/>
                <w:szCs w:val="21"/>
                <w:highlight w:val="none"/>
              </w:rPr>
              <w:t>等情况，应在24小时内完成危险废物回收服务。</w:t>
            </w:r>
          </w:p>
          <w:p w14:paraId="50FAE83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2.服务地点：广西南宁市采购人指定地点。</w:t>
            </w:r>
          </w:p>
        </w:tc>
      </w:tr>
      <w:tr w14:paraId="40111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2" w:type="pct"/>
            <w:gridSpan w:val="2"/>
            <w:tcBorders>
              <w:top w:val="single" w:color="auto" w:sz="4" w:space="0"/>
              <w:left w:val="single" w:color="auto" w:sz="4" w:space="0"/>
              <w:bottom w:val="single" w:color="auto" w:sz="4" w:space="0"/>
              <w:right w:val="single" w:color="auto" w:sz="4" w:space="0"/>
            </w:tcBorders>
            <w:noWrap w:val="0"/>
            <w:vAlign w:val="center"/>
          </w:tcPr>
          <w:p w14:paraId="2356088B">
            <w:pPr>
              <w:spacing w:line="360" w:lineRule="auto"/>
              <w:rPr>
                <w:rFonts w:hint="eastAsia" w:ascii="宋体" w:hAnsi="宋体" w:eastAsia="宋体" w:cs="宋体"/>
                <w:szCs w:val="21"/>
              </w:rPr>
            </w:pPr>
            <w:r>
              <w:rPr>
                <w:rFonts w:hint="eastAsia" w:ascii="宋体" w:hAnsi="宋体" w:eastAsia="宋体" w:cs="宋体"/>
                <w:szCs w:val="21"/>
              </w:rPr>
              <w:t>付款方式</w:t>
            </w:r>
          </w:p>
        </w:tc>
        <w:tc>
          <w:tcPr>
            <w:tcW w:w="4237" w:type="pct"/>
            <w:gridSpan w:val="2"/>
            <w:tcBorders>
              <w:top w:val="single" w:color="auto" w:sz="4" w:space="0"/>
              <w:left w:val="single" w:color="auto" w:sz="4" w:space="0"/>
              <w:bottom w:val="single" w:color="auto" w:sz="4" w:space="0"/>
              <w:right w:val="single" w:color="auto" w:sz="4" w:space="0"/>
            </w:tcBorders>
            <w:noWrap w:val="0"/>
            <w:vAlign w:val="center"/>
          </w:tcPr>
          <w:p w14:paraId="1E74E6A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本项目无预付款，采购人自收到成交供应商提交的经双方签字（或盖章）确认清运废物品名（种类）和重量后凭最终对账单、转移联单、安全处置报告及回执付款，成交供应商开具相应发票、收集现场签收凭证及协助处置上传相关法规要求的网站备案后，</w:t>
            </w:r>
            <w:r>
              <w:rPr>
                <w:rFonts w:hint="eastAsia" w:ascii="宋体" w:hAnsi="宋体" w:eastAsia="宋体" w:cs="宋体"/>
                <w:color w:val="auto"/>
                <w:szCs w:val="21"/>
              </w:rPr>
              <w:t>采购人在</w:t>
            </w:r>
            <w:r>
              <w:rPr>
                <w:rFonts w:hint="eastAsia" w:ascii="宋体" w:hAnsi="宋体" w:eastAsia="宋体" w:cs="宋体"/>
                <w:color w:val="auto"/>
                <w:szCs w:val="21"/>
                <w:lang w:eastAsia="zh-CN"/>
              </w:rPr>
              <w:t>1</w:t>
            </w:r>
            <w:r>
              <w:rPr>
                <w:rFonts w:hint="eastAsia" w:ascii="宋体" w:hAnsi="宋体" w:eastAsia="宋体" w:cs="宋体"/>
                <w:color w:val="auto"/>
                <w:szCs w:val="21"/>
                <w:lang w:val="en-US" w:eastAsia="zh-CN"/>
              </w:rPr>
              <w:t>5</w:t>
            </w:r>
            <w:r>
              <w:rPr>
                <w:rFonts w:hint="eastAsia" w:ascii="宋体" w:hAnsi="宋体" w:eastAsia="宋体" w:cs="宋体"/>
                <w:color w:val="auto"/>
                <w:szCs w:val="21"/>
              </w:rPr>
              <w:t>个工作日内，按照实际处置量乘以对应中标单价计算所得金额，向成交供应商支付合同款项。</w:t>
            </w:r>
          </w:p>
        </w:tc>
      </w:tr>
      <w:tr w14:paraId="65CF4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2" w:type="pct"/>
            <w:gridSpan w:val="2"/>
            <w:tcBorders>
              <w:top w:val="single" w:color="auto" w:sz="4" w:space="0"/>
              <w:left w:val="single" w:color="auto" w:sz="4" w:space="0"/>
              <w:bottom w:val="single" w:color="auto" w:sz="4" w:space="0"/>
              <w:right w:val="single" w:color="auto" w:sz="4" w:space="0"/>
            </w:tcBorders>
            <w:noWrap w:val="0"/>
            <w:vAlign w:val="center"/>
          </w:tcPr>
          <w:p w14:paraId="6403810D">
            <w:pPr>
              <w:spacing w:line="360" w:lineRule="auto"/>
              <w:jc w:val="left"/>
              <w:rPr>
                <w:rFonts w:hint="eastAsia" w:ascii="宋体" w:hAnsi="宋体" w:eastAsia="宋体" w:cs="宋体"/>
                <w:szCs w:val="21"/>
              </w:rPr>
            </w:pPr>
            <w:r>
              <w:rPr>
                <w:rFonts w:hint="eastAsia" w:ascii="宋体" w:hAnsi="宋体" w:eastAsia="宋体" w:cs="宋体"/>
                <w:szCs w:val="21"/>
              </w:rPr>
              <w:t>报价要求</w:t>
            </w:r>
          </w:p>
        </w:tc>
        <w:tc>
          <w:tcPr>
            <w:tcW w:w="4237" w:type="pct"/>
            <w:gridSpan w:val="2"/>
            <w:tcBorders>
              <w:top w:val="single" w:color="auto" w:sz="4" w:space="0"/>
              <w:left w:val="single" w:color="auto" w:sz="4" w:space="0"/>
              <w:bottom w:val="single" w:color="auto" w:sz="4" w:space="0"/>
              <w:right w:val="single" w:color="auto" w:sz="4" w:space="0"/>
            </w:tcBorders>
            <w:noWrap w:val="0"/>
            <w:vAlign w:val="center"/>
          </w:tcPr>
          <w:p w14:paraId="04625F2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实行总包制，即包含人员费用、收集费用、运输费用、处置费用、车辆设备使用费用、利润税金等为完成谈判规定的一切工作所需的全部费用。合同履行过程中，采购人不再支付合同以外的其他费用。具体</w:t>
            </w:r>
            <w:r>
              <w:rPr>
                <w:rFonts w:hint="eastAsia" w:ascii="宋体" w:hAnsi="宋体" w:eastAsia="宋体" w:cs="宋体"/>
                <w:color w:val="auto"/>
                <w:szCs w:val="21"/>
                <w:lang w:val="en-US" w:eastAsia="zh-CN"/>
              </w:rPr>
              <w:t>最终结算</w:t>
            </w:r>
            <w:r>
              <w:rPr>
                <w:rFonts w:hint="eastAsia" w:ascii="宋体" w:hAnsi="宋体" w:eastAsia="宋体" w:cs="宋体"/>
                <w:color w:val="auto"/>
                <w:szCs w:val="21"/>
              </w:rPr>
              <w:t>费用按成交单价与采购人交由成交供应商处置的实际数量进行结算，合同总价暂定为预算总价。</w:t>
            </w:r>
          </w:p>
        </w:tc>
      </w:tr>
      <w:tr w14:paraId="3958E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2" w:type="pct"/>
            <w:gridSpan w:val="2"/>
            <w:tcBorders>
              <w:top w:val="single" w:color="auto" w:sz="4" w:space="0"/>
              <w:left w:val="single" w:color="auto" w:sz="4" w:space="0"/>
              <w:bottom w:val="single" w:color="auto" w:sz="4" w:space="0"/>
              <w:right w:val="single" w:color="auto" w:sz="4" w:space="0"/>
            </w:tcBorders>
            <w:noWrap w:val="0"/>
            <w:vAlign w:val="center"/>
          </w:tcPr>
          <w:p w14:paraId="5A3563B3">
            <w:pPr>
              <w:spacing w:line="360" w:lineRule="auto"/>
              <w:rPr>
                <w:rFonts w:hint="eastAsia" w:ascii="宋体" w:hAnsi="宋体" w:eastAsia="宋体" w:cs="宋体"/>
                <w:szCs w:val="21"/>
              </w:rPr>
            </w:pPr>
            <w:r>
              <w:rPr>
                <w:rFonts w:hint="eastAsia" w:ascii="宋体" w:hAnsi="宋体" w:eastAsia="宋体" w:cs="宋体"/>
              </w:rPr>
              <w:t>其他要求</w:t>
            </w:r>
          </w:p>
        </w:tc>
        <w:tc>
          <w:tcPr>
            <w:tcW w:w="4237" w:type="pct"/>
            <w:gridSpan w:val="2"/>
            <w:tcBorders>
              <w:top w:val="single" w:color="auto" w:sz="4" w:space="0"/>
              <w:left w:val="single" w:color="auto" w:sz="4" w:space="0"/>
              <w:bottom w:val="single" w:color="auto" w:sz="4" w:space="0"/>
              <w:right w:val="single" w:color="auto" w:sz="4" w:space="0"/>
            </w:tcBorders>
            <w:noWrap w:val="0"/>
            <w:vAlign w:val="center"/>
          </w:tcPr>
          <w:p w14:paraId="70CC8731">
            <w:pPr>
              <w:keepNext w:val="0"/>
              <w:keepLines w:val="0"/>
              <w:pageBreakBefore w:val="0"/>
              <w:widowControl w:val="0"/>
              <w:kinsoku/>
              <w:wordWrap/>
              <w:overflowPunct/>
              <w:topLinePunct w:val="0"/>
              <w:autoSpaceDE/>
              <w:autoSpaceDN/>
              <w:bidi w:val="0"/>
              <w:adjustRightInd/>
              <w:snapToGrid/>
              <w:spacing w:line="380" w:lineRule="exact"/>
              <w:ind w:right="-57" w:rightChars="-27"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合同以外实验室产生废弃物种类的处置费用由合同双方另行协商。</w:t>
            </w:r>
          </w:p>
        </w:tc>
      </w:tr>
      <w:tr w14:paraId="53E97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2" w:type="pct"/>
            <w:gridSpan w:val="2"/>
            <w:tcBorders>
              <w:top w:val="single" w:color="auto" w:sz="4" w:space="0"/>
              <w:left w:val="single" w:color="auto" w:sz="4" w:space="0"/>
              <w:bottom w:val="single" w:color="auto" w:sz="4" w:space="0"/>
              <w:right w:val="single" w:color="auto" w:sz="4" w:space="0"/>
            </w:tcBorders>
            <w:noWrap w:val="0"/>
            <w:vAlign w:val="center"/>
          </w:tcPr>
          <w:p w14:paraId="3A9FAC2C">
            <w:pPr>
              <w:spacing w:line="360" w:lineRule="auto"/>
              <w:rPr>
                <w:rFonts w:hint="eastAsia" w:ascii="宋体" w:hAnsi="宋体" w:eastAsia="宋体" w:cs="宋体"/>
              </w:rPr>
            </w:pPr>
            <w:r>
              <w:rPr>
                <w:rFonts w:hint="eastAsia" w:ascii="宋体" w:hAnsi="宋体" w:eastAsia="宋体" w:cs="宋体"/>
                <w:kern w:val="0"/>
                <w:szCs w:val="21"/>
                <w:lang w:bidi="ar"/>
              </w:rPr>
              <w:t>规范标准</w:t>
            </w:r>
          </w:p>
        </w:tc>
        <w:tc>
          <w:tcPr>
            <w:tcW w:w="4237" w:type="pct"/>
            <w:gridSpan w:val="2"/>
            <w:tcBorders>
              <w:top w:val="single" w:color="auto" w:sz="4" w:space="0"/>
              <w:left w:val="single" w:color="auto" w:sz="4" w:space="0"/>
              <w:bottom w:val="single" w:color="auto" w:sz="4" w:space="0"/>
              <w:right w:val="single" w:color="auto" w:sz="4" w:space="0"/>
            </w:tcBorders>
            <w:noWrap w:val="0"/>
            <w:vAlign w:val="center"/>
          </w:tcPr>
          <w:p w14:paraId="7A060897">
            <w:pPr>
              <w:keepNext w:val="0"/>
              <w:keepLines w:val="0"/>
              <w:pageBreakBefore w:val="0"/>
              <w:widowControl w:val="0"/>
              <w:kinsoku/>
              <w:wordWrap/>
              <w:overflowPunct/>
              <w:topLinePunct w:val="0"/>
              <w:autoSpaceDE/>
              <w:autoSpaceDN/>
              <w:bidi w:val="0"/>
              <w:adjustRightInd/>
              <w:snapToGrid/>
              <w:spacing w:line="380" w:lineRule="exact"/>
              <w:ind w:right="-57" w:rightChars="-27"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服务过程符合国家及广西的有关危险废弃物处置安全及相关环保、职业健康等方面的法律法规和行业标准。</w:t>
            </w:r>
          </w:p>
          <w:p w14:paraId="0EE28718">
            <w:pPr>
              <w:keepNext w:val="0"/>
              <w:keepLines w:val="0"/>
              <w:pageBreakBefore w:val="0"/>
              <w:widowControl w:val="0"/>
              <w:kinsoku/>
              <w:wordWrap/>
              <w:overflowPunct/>
              <w:topLinePunct w:val="0"/>
              <w:autoSpaceDE/>
              <w:autoSpaceDN/>
              <w:bidi w:val="0"/>
              <w:adjustRightInd/>
              <w:snapToGrid/>
              <w:spacing w:line="380" w:lineRule="exact"/>
              <w:ind w:right="-57" w:rightChars="-27"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《危险废物鉴别技术规范》（HJ</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298-2019）</w:t>
            </w:r>
          </w:p>
          <w:p w14:paraId="7BFA2639">
            <w:pPr>
              <w:keepNext w:val="0"/>
              <w:keepLines w:val="0"/>
              <w:pageBreakBefore w:val="0"/>
              <w:widowControl w:val="0"/>
              <w:kinsoku/>
              <w:wordWrap/>
              <w:overflowPunct/>
              <w:topLinePunct w:val="0"/>
              <w:autoSpaceDE/>
              <w:autoSpaceDN/>
              <w:bidi w:val="0"/>
              <w:adjustRightInd/>
              <w:snapToGrid/>
              <w:spacing w:line="380" w:lineRule="exact"/>
              <w:ind w:right="-57" w:rightChars="-27"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《危险废物收集</w:t>
            </w:r>
            <w:r>
              <w:rPr>
                <w:rFonts w:hint="eastAsia" w:ascii="宋体" w:hAnsi="宋体" w:eastAsia="宋体" w:cs="宋体"/>
                <w:color w:val="auto"/>
                <w:szCs w:val="21"/>
                <w:lang w:eastAsia="zh-CN"/>
              </w:rPr>
              <w:t>、</w:t>
            </w:r>
            <w:r>
              <w:rPr>
                <w:rFonts w:hint="eastAsia" w:ascii="宋体" w:hAnsi="宋体" w:eastAsia="宋体" w:cs="宋体"/>
                <w:color w:val="auto"/>
                <w:szCs w:val="21"/>
              </w:rPr>
              <w:t>贮存</w:t>
            </w:r>
            <w:r>
              <w:rPr>
                <w:rFonts w:hint="eastAsia" w:ascii="宋体" w:hAnsi="宋体" w:eastAsia="宋体" w:cs="宋体"/>
                <w:color w:val="auto"/>
                <w:szCs w:val="21"/>
                <w:lang w:eastAsia="zh-CN"/>
              </w:rPr>
              <w:t>、</w:t>
            </w:r>
            <w:r>
              <w:rPr>
                <w:rFonts w:hint="eastAsia" w:ascii="宋体" w:hAnsi="宋体" w:eastAsia="宋体" w:cs="宋体"/>
                <w:color w:val="auto"/>
                <w:szCs w:val="21"/>
              </w:rPr>
              <w:t>运输技术规范》(HJ</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2025-2012)</w:t>
            </w:r>
          </w:p>
        </w:tc>
      </w:tr>
      <w:tr w14:paraId="50F88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7DFB3271">
            <w:pPr>
              <w:spacing w:line="360" w:lineRule="auto"/>
              <w:rPr>
                <w:rFonts w:hint="eastAsia" w:ascii="宋体" w:hAnsi="宋体" w:eastAsia="宋体" w:cs="宋体"/>
                <w:color w:val="auto"/>
                <w:szCs w:val="21"/>
              </w:rPr>
            </w:pPr>
            <w:r>
              <w:rPr>
                <w:rFonts w:hint="eastAsia" w:ascii="宋体" w:hAnsi="宋体" w:eastAsia="宋体" w:cs="宋体"/>
                <w:b/>
                <w:color w:val="auto"/>
                <w:szCs w:val="21"/>
              </w:rPr>
              <w:t>三、其他</w:t>
            </w:r>
          </w:p>
        </w:tc>
      </w:tr>
      <w:tr w14:paraId="507BC3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2" w:type="pct"/>
            <w:gridSpan w:val="2"/>
            <w:tcBorders>
              <w:top w:val="single" w:color="auto" w:sz="4" w:space="0"/>
              <w:left w:val="single" w:color="auto" w:sz="4" w:space="0"/>
              <w:bottom w:val="single" w:color="auto" w:sz="4" w:space="0"/>
              <w:right w:val="single" w:color="auto" w:sz="4" w:space="0"/>
            </w:tcBorders>
            <w:noWrap w:val="0"/>
            <w:vAlign w:val="center"/>
          </w:tcPr>
          <w:p w14:paraId="5579E64F">
            <w:pPr>
              <w:spacing w:line="360" w:lineRule="auto"/>
              <w:jc w:val="center"/>
              <w:rPr>
                <w:rFonts w:hint="eastAsia" w:ascii="宋体" w:hAnsi="宋体" w:eastAsia="宋体" w:cs="宋体"/>
                <w:szCs w:val="21"/>
              </w:rPr>
            </w:pPr>
            <w:r>
              <w:rPr>
                <w:rFonts w:hint="eastAsia" w:ascii="宋体" w:hAnsi="宋体" w:eastAsia="宋体" w:cs="宋体"/>
                <w:szCs w:val="21"/>
              </w:rPr>
              <w:t>项目服务方案</w:t>
            </w:r>
          </w:p>
        </w:tc>
        <w:tc>
          <w:tcPr>
            <w:tcW w:w="4237" w:type="pct"/>
            <w:gridSpan w:val="2"/>
            <w:tcBorders>
              <w:top w:val="single" w:color="auto" w:sz="4" w:space="0"/>
              <w:left w:val="single" w:color="auto" w:sz="4" w:space="0"/>
              <w:bottom w:val="single" w:color="auto" w:sz="4" w:space="0"/>
              <w:right w:val="single" w:color="auto" w:sz="4" w:space="0"/>
            </w:tcBorders>
            <w:noWrap w:val="0"/>
            <w:vAlign w:val="center"/>
          </w:tcPr>
          <w:p w14:paraId="7941D3B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1.由供应商结合自身情况，提供项目实施方案及管理方案，包括但不限于：针对本项目特点的危险废弃物现场收集、运输方案、针对本项目特点的危险废弃物处置方案、应急方案、投入设备、项目负责人、团队人员、供应商危险废弃物暂存处置厂房、供应商危险废弃物运输车辆等。</w:t>
            </w:r>
          </w:p>
          <w:p w14:paraId="16E9BE0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2.如有，请提供技术能力相关证明或业绩证明。</w:t>
            </w:r>
          </w:p>
          <w:p w14:paraId="4D30333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3.供应商如有本地化常驻技术支持机构的，请于响应文件中提供相关证明文件。</w:t>
            </w:r>
          </w:p>
        </w:tc>
      </w:tr>
      <w:bookmarkEnd w:id="0"/>
    </w:tbl>
    <w:p w14:paraId="61D5E135">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32"/>
        </w:rPr>
      </w:pPr>
    </w:p>
    <w:p w14:paraId="1FE8E69D">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32"/>
        </w:rPr>
        <w:sectPr>
          <w:headerReference r:id="rId3" w:type="default"/>
          <w:footerReference r:id="rId4" w:type="default"/>
          <w:pgSz w:w="11906" w:h="16838"/>
          <w:pgMar w:top="1440" w:right="1474" w:bottom="1417" w:left="1587" w:header="851" w:footer="992" w:gutter="0"/>
          <w:pgNumType w:fmt="decimal" w:start="1"/>
          <w:cols w:space="425" w:num="1"/>
          <w:docGrid w:type="lines" w:linePitch="312" w:charSpace="0"/>
        </w:sectPr>
      </w:pPr>
    </w:p>
    <w:p w14:paraId="1C8FA4EA">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附件2：</w:t>
      </w:r>
    </w:p>
    <w:p w14:paraId="5FC3C397">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2026年实验室危险废物处置服务报价表</w:t>
      </w:r>
    </w:p>
    <w:tbl>
      <w:tblPr>
        <w:tblStyle w:val="10"/>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005"/>
        <w:gridCol w:w="1560"/>
        <w:gridCol w:w="1759"/>
        <w:gridCol w:w="1413"/>
        <w:gridCol w:w="1414"/>
        <w:gridCol w:w="1414"/>
      </w:tblGrid>
      <w:tr w14:paraId="7ED6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vAlign w:val="center"/>
          </w:tcPr>
          <w:p w14:paraId="4BD61722">
            <w:pPr>
              <w:keepNext w:val="0"/>
              <w:keepLines w:val="0"/>
              <w:pageBreakBefore w:val="0"/>
              <w:kinsoku/>
              <w:wordWrap/>
              <w:overflowPunct/>
              <w:topLinePunct w:val="0"/>
              <w:autoSpaceDE w:val="0"/>
              <w:autoSpaceDN w:val="0"/>
              <w:bidi w:val="0"/>
              <w:adjustRightInd w:val="0"/>
              <w:snapToGrid/>
              <w:spacing w:line="3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序号</w:t>
            </w:r>
          </w:p>
        </w:tc>
        <w:tc>
          <w:tcPr>
            <w:tcW w:w="1005" w:type="dxa"/>
            <w:shd w:val="clear" w:color="auto" w:fill="auto"/>
            <w:vAlign w:val="center"/>
          </w:tcPr>
          <w:p w14:paraId="294FBE04">
            <w:pPr>
              <w:keepNext w:val="0"/>
              <w:keepLines w:val="0"/>
              <w:pageBreakBefore w:val="0"/>
              <w:tabs>
                <w:tab w:val="left" w:pos="420"/>
              </w:tabs>
              <w:kinsoku/>
              <w:wordWrap/>
              <w:overflowPunct/>
              <w:topLinePunct w:val="0"/>
              <w:bidi w:val="0"/>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类别</w:t>
            </w:r>
          </w:p>
        </w:tc>
        <w:tc>
          <w:tcPr>
            <w:tcW w:w="1560" w:type="dxa"/>
            <w:shd w:val="clear" w:color="auto" w:fill="auto"/>
            <w:vAlign w:val="center"/>
          </w:tcPr>
          <w:p w14:paraId="7AF8E2BD">
            <w:pPr>
              <w:keepNext w:val="0"/>
              <w:keepLines w:val="0"/>
              <w:pageBreakBefore w:val="0"/>
              <w:kinsoku/>
              <w:wordWrap/>
              <w:overflowPunct/>
              <w:topLinePunct w:val="0"/>
              <w:autoSpaceDE w:val="0"/>
              <w:autoSpaceDN w:val="0"/>
              <w:bidi w:val="0"/>
              <w:adjustRightInd w:val="0"/>
              <w:snapToGrid/>
              <w:spacing w:line="3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代码</w:t>
            </w:r>
          </w:p>
        </w:tc>
        <w:tc>
          <w:tcPr>
            <w:tcW w:w="1759" w:type="dxa"/>
            <w:shd w:val="clear" w:color="auto" w:fill="auto"/>
            <w:vAlign w:val="center"/>
          </w:tcPr>
          <w:p w14:paraId="79988489">
            <w:pPr>
              <w:keepNext w:val="0"/>
              <w:keepLines w:val="0"/>
              <w:pageBreakBefore w:val="0"/>
              <w:kinsoku/>
              <w:wordWrap/>
              <w:overflowPunct/>
              <w:topLinePunct w:val="0"/>
              <w:autoSpaceDE w:val="0"/>
              <w:autoSpaceDN w:val="0"/>
              <w:bidi w:val="0"/>
              <w:adjustRightInd w:val="0"/>
              <w:snapToGrid/>
              <w:spacing w:line="3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废物</w:t>
            </w:r>
            <w:r>
              <w:rPr>
                <w:rFonts w:hint="eastAsia" w:ascii="宋体" w:hAnsi="宋体" w:eastAsia="宋体" w:cs="宋体"/>
                <w:color w:val="auto"/>
                <w:kern w:val="0"/>
                <w:szCs w:val="21"/>
              </w:rPr>
              <w:t>品名（种类）</w:t>
            </w:r>
          </w:p>
        </w:tc>
        <w:tc>
          <w:tcPr>
            <w:tcW w:w="1413" w:type="dxa"/>
            <w:shd w:val="clear" w:color="auto" w:fill="auto"/>
            <w:vAlign w:val="center"/>
          </w:tcPr>
          <w:p w14:paraId="12468737">
            <w:pPr>
              <w:keepNext w:val="0"/>
              <w:keepLines w:val="0"/>
              <w:pageBreakBefore w:val="0"/>
              <w:kinsoku/>
              <w:wordWrap/>
              <w:overflowPunct/>
              <w:topLinePunct w:val="0"/>
              <w:autoSpaceDE w:val="0"/>
              <w:autoSpaceDN w:val="0"/>
              <w:bidi w:val="0"/>
              <w:adjustRightInd w:val="0"/>
              <w:snapToGrid/>
              <w:spacing w:line="3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预计</w:t>
            </w:r>
            <w:r>
              <w:rPr>
                <w:rFonts w:hint="eastAsia" w:ascii="宋体" w:hAnsi="宋体" w:eastAsia="宋体" w:cs="宋体"/>
                <w:color w:val="auto"/>
                <w:sz w:val="21"/>
                <w:szCs w:val="21"/>
              </w:rPr>
              <w:t>总量/kg</w:t>
            </w:r>
          </w:p>
        </w:tc>
        <w:tc>
          <w:tcPr>
            <w:tcW w:w="1414" w:type="dxa"/>
            <w:shd w:val="clear" w:color="auto" w:fill="auto"/>
            <w:vAlign w:val="center"/>
          </w:tcPr>
          <w:p w14:paraId="6E391287">
            <w:pPr>
              <w:keepNext w:val="0"/>
              <w:keepLines w:val="0"/>
              <w:pageBreakBefore w:val="0"/>
              <w:tabs>
                <w:tab w:val="left" w:pos="420"/>
              </w:tabs>
              <w:kinsoku/>
              <w:wordWrap/>
              <w:overflowPunct/>
              <w:topLinePunct w:val="0"/>
              <w:bidi w:val="0"/>
              <w:snapToGrid/>
              <w:spacing w:line="3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单价</w:t>
            </w:r>
          </w:p>
          <w:p w14:paraId="2DE7EFFC">
            <w:pPr>
              <w:keepNext w:val="0"/>
              <w:keepLines w:val="0"/>
              <w:pageBreakBefore w:val="0"/>
              <w:kinsoku/>
              <w:wordWrap/>
              <w:overflowPunct/>
              <w:topLinePunct w:val="0"/>
              <w:autoSpaceDE w:val="0"/>
              <w:autoSpaceDN w:val="0"/>
              <w:bidi w:val="0"/>
              <w:adjustRightInd w:val="0"/>
              <w:snapToGrid/>
              <w:spacing w:line="3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元/kg</w:t>
            </w:r>
            <w:r>
              <w:rPr>
                <w:rFonts w:hint="eastAsia" w:ascii="宋体" w:hAnsi="宋体" w:eastAsia="宋体" w:cs="宋体"/>
                <w:color w:val="auto"/>
                <w:sz w:val="21"/>
                <w:szCs w:val="21"/>
                <w:lang w:eastAsia="zh-CN"/>
              </w:rPr>
              <w:t>）</w:t>
            </w:r>
          </w:p>
        </w:tc>
        <w:tc>
          <w:tcPr>
            <w:tcW w:w="1414" w:type="dxa"/>
            <w:shd w:val="clear" w:color="auto" w:fill="auto"/>
            <w:vAlign w:val="center"/>
          </w:tcPr>
          <w:p w14:paraId="7DB6AD66">
            <w:pPr>
              <w:keepNext w:val="0"/>
              <w:keepLines w:val="0"/>
              <w:pageBreakBefore w:val="0"/>
              <w:kinsoku/>
              <w:wordWrap/>
              <w:overflowPunct/>
              <w:topLinePunct w:val="0"/>
              <w:autoSpaceDE w:val="0"/>
              <w:autoSpaceDN w:val="0"/>
              <w:bidi w:val="0"/>
              <w:adjustRightInd w:val="0"/>
              <w:snapToGrid/>
              <w:spacing w:line="3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总价</w:t>
            </w:r>
            <w:r>
              <w:rPr>
                <w:rFonts w:hint="eastAsia" w:ascii="宋体" w:hAnsi="宋体" w:eastAsia="宋体" w:cs="宋体"/>
                <w:color w:val="auto"/>
                <w:sz w:val="21"/>
                <w:szCs w:val="21"/>
              </w:rPr>
              <w:t>（元）</w:t>
            </w:r>
          </w:p>
        </w:tc>
      </w:tr>
      <w:tr w14:paraId="6EB0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vAlign w:val="center"/>
          </w:tcPr>
          <w:p w14:paraId="58DD3504">
            <w:pPr>
              <w:keepNext w:val="0"/>
              <w:keepLines w:val="0"/>
              <w:pageBreakBefore w:val="0"/>
              <w:kinsoku/>
              <w:wordWrap/>
              <w:overflowPunct/>
              <w:topLinePunct w:val="0"/>
              <w:autoSpaceDE w:val="0"/>
              <w:autoSpaceDN w:val="0"/>
              <w:bidi w:val="0"/>
              <w:adjustRightInd w:val="0"/>
              <w:snapToGrid/>
              <w:spacing w:line="3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1005" w:type="dxa"/>
            <w:shd w:val="clear" w:color="auto" w:fill="auto"/>
            <w:vAlign w:val="center"/>
          </w:tcPr>
          <w:p w14:paraId="0E8C3123">
            <w:pPr>
              <w:keepNext w:val="0"/>
              <w:keepLines w:val="0"/>
              <w:pageBreakBefore w:val="0"/>
              <w:tabs>
                <w:tab w:val="left" w:pos="420"/>
              </w:tabs>
              <w:kinsoku/>
              <w:wordWrap/>
              <w:overflowPunct/>
              <w:topLinePunct w:val="0"/>
              <w:bidi w:val="0"/>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HW49</w:t>
            </w:r>
          </w:p>
        </w:tc>
        <w:tc>
          <w:tcPr>
            <w:tcW w:w="1560" w:type="dxa"/>
            <w:shd w:val="clear" w:color="auto" w:fill="auto"/>
            <w:vAlign w:val="center"/>
          </w:tcPr>
          <w:p w14:paraId="2BC1C79D">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kern w:val="2"/>
                <w:sz w:val="32"/>
                <w:szCs w:val="32"/>
                <w:vertAlign w:val="baseline"/>
                <w:lang w:val="en-US" w:eastAsia="zh-CN" w:bidi="ar-SA"/>
              </w:rPr>
            </w:pPr>
            <w:r>
              <w:rPr>
                <w:rFonts w:hint="eastAsia" w:ascii="宋体" w:hAnsi="宋体" w:eastAsia="宋体" w:cs="宋体"/>
                <w:color w:val="auto"/>
                <w:kern w:val="0"/>
                <w:szCs w:val="21"/>
                <w:lang w:bidi="ar"/>
              </w:rPr>
              <w:t>900-047-49</w:t>
            </w:r>
          </w:p>
        </w:tc>
        <w:tc>
          <w:tcPr>
            <w:tcW w:w="1759" w:type="dxa"/>
            <w:shd w:val="clear" w:color="auto" w:fill="auto"/>
            <w:vAlign w:val="center"/>
          </w:tcPr>
          <w:p w14:paraId="5CF89BC6">
            <w:pPr>
              <w:keepNext w:val="0"/>
              <w:keepLines w:val="0"/>
              <w:pageBreakBefore w:val="0"/>
              <w:kinsoku/>
              <w:wordWrap/>
              <w:overflowPunct/>
              <w:topLinePunct w:val="0"/>
              <w:autoSpaceDE w:val="0"/>
              <w:autoSpaceDN w:val="0"/>
              <w:bidi w:val="0"/>
              <w:adjustRightInd w:val="0"/>
              <w:snapToGrid/>
              <w:spacing w:line="3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废液</w:t>
            </w:r>
            <w:r>
              <w:rPr>
                <w:rFonts w:hint="eastAsia" w:ascii="宋体" w:hAnsi="宋体" w:eastAsia="宋体" w:cs="宋体"/>
                <w:color w:val="auto"/>
                <w:szCs w:val="21"/>
                <w:lang w:eastAsia="zh-CN"/>
              </w:rPr>
              <w:t>（</w:t>
            </w:r>
            <w:r>
              <w:rPr>
                <w:rFonts w:hint="eastAsia" w:ascii="宋体" w:hAnsi="宋体" w:eastAsia="宋体" w:cs="宋体"/>
                <w:color w:val="auto"/>
                <w:szCs w:val="21"/>
              </w:rPr>
              <w:t>有机无机废液</w:t>
            </w:r>
            <w:r>
              <w:rPr>
                <w:rFonts w:hint="eastAsia" w:ascii="宋体" w:hAnsi="宋体" w:eastAsia="宋体" w:cs="宋体"/>
                <w:color w:val="auto"/>
                <w:szCs w:val="21"/>
                <w:lang w:eastAsia="zh-CN"/>
              </w:rPr>
              <w:t>）</w:t>
            </w:r>
          </w:p>
        </w:tc>
        <w:tc>
          <w:tcPr>
            <w:tcW w:w="1413" w:type="dxa"/>
            <w:vAlign w:val="center"/>
          </w:tcPr>
          <w:p w14:paraId="0B312700">
            <w:pPr>
              <w:keepNext w:val="0"/>
              <w:keepLines w:val="0"/>
              <w:pageBreakBefore w:val="0"/>
              <w:kinsoku/>
              <w:wordWrap/>
              <w:overflowPunct/>
              <w:topLinePunct w:val="0"/>
              <w:autoSpaceDE w:val="0"/>
              <w:autoSpaceDN w:val="0"/>
              <w:bidi w:val="0"/>
              <w:adjustRightInd w:val="0"/>
              <w:snapToGrid/>
              <w:spacing w:line="3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9753.67</w:t>
            </w:r>
          </w:p>
        </w:tc>
        <w:tc>
          <w:tcPr>
            <w:tcW w:w="1414" w:type="dxa"/>
            <w:vAlign w:val="center"/>
          </w:tcPr>
          <w:p w14:paraId="791E1DB7">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32"/>
                <w:vertAlign w:val="baseline"/>
              </w:rPr>
            </w:pPr>
          </w:p>
        </w:tc>
        <w:tc>
          <w:tcPr>
            <w:tcW w:w="1414" w:type="dxa"/>
            <w:vAlign w:val="center"/>
          </w:tcPr>
          <w:p w14:paraId="2B1FD0CC">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32"/>
                <w:vertAlign w:val="baseline"/>
              </w:rPr>
            </w:pPr>
          </w:p>
        </w:tc>
      </w:tr>
      <w:tr w14:paraId="5FEF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vAlign w:val="center"/>
          </w:tcPr>
          <w:p w14:paraId="0ED505FE">
            <w:pPr>
              <w:keepNext w:val="0"/>
              <w:keepLines w:val="0"/>
              <w:pageBreakBefore w:val="0"/>
              <w:kinsoku/>
              <w:wordWrap/>
              <w:overflowPunct/>
              <w:topLinePunct w:val="0"/>
              <w:autoSpaceDE w:val="0"/>
              <w:autoSpaceDN w:val="0"/>
              <w:bidi w:val="0"/>
              <w:adjustRightInd w:val="0"/>
              <w:snapToGrid/>
              <w:spacing w:line="3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w:t>
            </w:r>
          </w:p>
        </w:tc>
        <w:tc>
          <w:tcPr>
            <w:tcW w:w="1005" w:type="dxa"/>
            <w:shd w:val="clear" w:color="auto" w:fill="auto"/>
            <w:vAlign w:val="center"/>
          </w:tcPr>
          <w:p w14:paraId="71B69B5F">
            <w:pPr>
              <w:keepNext w:val="0"/>
              <w:keepLines w:val="0"/>
              <w:pageBreakBefore w:val="0"/>
              <w:tabs>
                <w:tab w:val="left" w:pos="420"/>
              </w:tabs>
              <w:kinsoku/>
              <w:wordWrap/>
              <w:overflowPunct/>
              <w:topLinePunct w:val="0"/>
              <w:bidi w:val="0"/>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HW49</w:t>
            </w:r>
          </w:p>
        </w:tc>
        <w:tc>
          <w:tcPr>
            <w:tcW w:w="1560" w:type="dxa"/>
            <w:shd w:val="clear" w:color="auto" w:fill="auto"/>
            <w:vAlign w:val="center"/>
          </w:tcPr>
          <w:p w14:paraId="17B2DD75">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kern w:val="2"/>
                <w:sz w:val="32"/>
                <w:szCs w:val="32"/>
                <w:vertAlign w:val="baseline"/>
                <w:lang w:val="en-US" w:eastAsia="zh-CN" w:bidi="ar-SA"/>
              </w:rPr>
            </w:pPr>
            <w:r>
              <w:rPr>
                <w:rFonts w:hint="eastAsia" w:ascii="宋体" w:hAnsi="宋体" w:eastAsia="宋体" w:cs="宋体"/>
                <w:color w:val="auto"/>
                <w:kern w:val="0"/>
                <w:szCs w:val="21"/>
                <w:lang w:bidi="ar"/>
              </w:rPr>
              <w:t>900-041-49</w:t>
            </w:r>
          </w:p>
        </w:tc>
        <w:tc>
          <w:tcPr>
            <w:tcW w:w="1759" w:type="dxa"/>
            <w:shd w:val="clear" w:color="auto" w:fill="auto"/>
            <w:vAlign w:val="center"/>
          </w:tcPr>
          <w:p w14:paraId="34977B02">
            <w:pPr>
              <w:keepNext w:val="0"/>
              <w:keepLines w:val="0"/>
              <w:pageBreakBefore w:val="0"/>
              <w:kinsoku/>
              <w:wordWrap/>
              <w:overflowPunct/>
              <w:topLinePunct w:val="0"/>
              <w:autoSpaceDE w:val="0"/>
              <w:autoSpaceDN w:val="0"/>
              <w:bidi w:val="0"/>
              <w:adjustRightInd w:val="0"/>
              <w:snapToGrid/>
              <w:spacing w:line="3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bidi="ar"/>
              </w:rPr>
              <w:t>试剂空瓶</w:t>
            </w:r>
          </w:p>
        </w:tc>
        <w:tc>
          <w:tcPr>
            <w:tcW w:w="1413" w:type="dxa"/>
            <w:shd w:val="clear" w:color="auto" w:fill="auto"/>
            <w:vAlign w:val="center"/>
          </w:tcPr>
          <w:p w14:paraId="54E30E2F">
            <w:pPr>
              <w:keepNext w:val="0"/>
              <w:keepLines w:val="0"/>
              <w:pageBreakBefore w:val="0"/>
              <w:kinsoku/>
              <w:wordWrap/>
              <w:overflowPunct/>
              <w:topLinePunct w:val="0"/>
              <w:autoSpaceDE w:val="0"/>
              <w:autoSpaceDN w:val="0"/>
              <w:bidi w:val="0"/>
              <w:adjustRightInd w:val="0"/>
              <w:snapToGrid/>
              <w:spacing w:line="38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4084.12</w:t>
            </w:r>
          </w:p>
        </w:tc>
        <w:tc>
          <w:tcPr>
            <w:tcW w:w="1414" w:type="dxa"/>
            <w:vAlign w:val="center"/>
          </w:tcPr>
          <w:p w14:paraId="63B27495">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32"/>
                <w:vertAlign w:val="baseline"/>
              </w:rPr>
            </w:pPr>
          </w:p>
        </w:tc>
        <w:tc>
          <w:tcPr>
            <w:tcW w:w="1414" w:type="dxa"/>
            <w:vAlign w:val="center"/>
          </w:tcPr>
          <w:p w14:paraId="671AFCF2">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32"/>
                <w:vertAlign w:val="baseline"/>
              </w:rPr>
            </w:pPr>
          </w:p>
        </w:tc>
      </w:tr>
      <w:tr w14:paraId="0C5F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vAlign w:val="center"/>
          </w:tcPr>
          <w:p w14:paraId="69E0C848">
            <w:pPr>
              <w:keepNext w:val="0"/>
              <w:keepLines w:val="0"/>
              <w:pageBreakBefore w:val="0"/>
              <w:kinsoku/>
              <w:wordWrap/>
              <w:overflowPunct/>
              <w:topLinePunct w:val="0"/>
              <w:autoSpaceDE w:val="0"/>
              <w:autoSpaceDN w:val="0"/>
              <w:bidi w:val="0"/>
              <w:adjustRightInd w:val="0"/>
              <w:snapToGrid/>
              <w:spacing w:line="3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3</w:t>
            </w:r>
          </w:p>
        </w:tc>
        <w:tc>
          <w:tcPr>
            <w:tcW w:w="1005" w:type="dxa"/>
            <w:shd w:val="clear" w:color="auto" w:fill="auto"/>
            <w:vAlign w:val="center"/>
          </w:tcPr>
          <w:p w14:paraId="08A01E2D">
            <w:pPr>
              <w:keepNext w:val="0"/>
              <w:keepLines w:val="0"/>
              <w:pageBreakBefore w:val="0"/>
              <w:tabs>
                <w:tab w:val="left" w:pos="420"/>
              </w:tabs>
              <w:kinsoku/>
              <w:wordWrap/>
              <w:overflowPunct/>
              <w:topLinePunct w:val="0"/>
              <w:bidi w:val="0"/>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HW49</w:t>
            </w:r>
          </w:p>
        </w:tc>
        <w:tc>
          <w:tcPr>
            <w:tcW w:w="1560" w:type="dxa"/>
            <w:shd w:val="clear" w:color="auto" w:fill="auto"/>
            <w:vAlign w:val="center"/>
          </w:tcPr>
          <w:p w14:paraId="4829702C">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kern w:val="2"/>
                <w:sz w:val="32"/>
                <w:szCs w:val="32"/>
                <w:vertAlign w:val="baseline"/>
                <w:lang w:val="en-US" w:eastAsia="zh-CN" w:bidi="ar-SA"/>
              </w:rPr>
            </w:pPr>
            <w:r>
              <w:rPr>
                <w:rFonts w:hint="eastAsia" w:ascii="宋体" w:hAnsi="宋体" w:eastAsia="宋体" w:cs="宋体"/>
                <w:color w:val="auto"/>
                <w:szCs w:val="21"/>
                <w:lang w:bidi="ar"/>
              </w:rPr>
              <w:t>900-024-29</w:t>
            </w:r>
          </w:p>
        </w:tc>
        <w:tc>
          <w:tcPr>
            <w:tcW w:w="1759" w:type="dxa"/>
            <w:shd w:val="clear" w:color="auto" w:fill="auto"/>
            <w:vAlign w:val="center"/>
          </w:tcPr>
          <w:p w14:paraId="1BAD90E4">
            <w:pPr>
              <w:keepNext w:val="0"/>
              <w:keepLines w:val="0"/>
              <w:pageBreakBefore w:val="0"/>
              <w:kinsoku/>
              <w:wordWrap/>
              <w:overflowPunct/>
              <w:topLinePunct w:val="0"/>
              <w:autoSpaceDE w:val="0"/>
              <w:autoSpaceDN w:val="0"/>
              <w:bidi w:val="0"/>
              <w:adjustRightInd w:val="0"/>
              <w:snapToGrid/>
              <w:spacing w:line="3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bidi="ar"/>
              </w:rPr>
              <w:t>含汞废物(血压计、体温针等）</w:t>
            </w:r>
          </w:p>
        </w:tc>
        <w:tc>
          <w:tcPr>
            <w:tcW w:w="1413" w:type="dxa"/>
            <w:shd w:val="clear" w:color="auto" w:fill="auto"/>
            <w:vAlign w:val="center"/>
          </w:tcPr>
          <w:p w14:paraId="2B61976A">
            <w:pPr>
              <w:keepNext w:val="0"/>
              <w:keepLines w:val="0"/>
              <w:pageBreakBefore w:val="0"/>
              <w:kinsoku/>
              <w:wordWrap/>
              <w:overflowPunct/>
              <w:topLinePunct w:val="0"/>
              <w:autoSpaceDE w:val="0"/>
              <w:autoSpaceDN w:val="0"/>
              <w:bidi w:val="0"/>
              <w:adjustRightInd w:val="0"/>
              <w:snapToGrid/>
              <w:spacing w:line="3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147.6</w:t>
            </w:r>
          </w:p>
        </w:tc>
        <w:tc>
          <w:tcPr>
            <w:tcW w:w="1414" w:type="dxa"/>
            <w:vAlign w:val="center"/>
          </w:tcPr>
          <w:p w14:paraId="7FD9654F">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32"/>
                <w:vertAlign w:val="baseline"/>
              </w:rPr>
            </w:pPr>
          </w:p>
        </w:tc>
        <w:tc>
          <w:tcPr>
            <w:tcW w:w="1414" w:type="dxa"/>
            <w:vAlign w:val="center"/>
          </w:tcPr>
          <w:p w14:paraId="1FF97DFC">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32"/>
                <w:vertAlign w:val="baseline"/>
              </w:rPr>
            </w:pPr>
          </w:p>
        </w:tc>
      </w:tr>
      <w:tr w14:paraId="58D5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shd w:val="clear" w:color="auto" w:fill="auto"/>
            <w:vAlign w:val="center"/>
          </w:tcPr>
          <w:p w14:paraId="6F91357D">
            <w:pPr>
              <w:keepNext w:val="0"/>
              <w:keepLines w:val="0"/>
              <w:pageBreakBefore w:val="0"/>
              <w:kinsoku/>
              <w:wordWrap/>
              <w:overflowPunct/>
              <w:topLinePunct w:val="0"/>
              <w:autoSpaceDE w:val="0"/>
              <w:autoSpaceDN w:val="0"/>
              <w:bidi w:val="0"/>
              <w:adjustRightInd w:val="0"/>
              <w:snapToGrid/>
              <w:spacing w:line="3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4</w:t>
            </w:r>
          </w:p>
        </w:tc>
        <w:tc>
          <w:tcPr>
            <w:tcW w:w="1005" w:type="dxa"/>
            <w:shd w:val="clear" w:color="auto" w:fill="auto"/>
            <w:vAlign w:val="center"/>
          </w:tcPr>
          <w:p w14:paraId="5ECE96C1">
            <w:pPr>
              <w:keepNext w:val="0"/>
              <w:keepLines w:val="0"/>
              <w:pageBreakBefore w:val="0"/>
              <w:tabs>
                <w:tab w:val="left" w:pos="420"/>
              </w:tabs>
              <w:kinsoku/>
              <w:wordWrap/>
              <w:overflowPunct/>
              <w:topLinePunct w:val="0"/>
              <w:bidi w:val="0"/>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HW29</w:t>
            </w:r>
          </w:p>
        </w:tc>
        <w:tc>
          <w:tcPr>
            <w:tcW w:w="1560" w:type="dxa"/>
            <w:shd w:val="clear" w:color="auto" w:fill="auto"/>
            <w:vAlign w:val="center"/>
          </w:tcPr>
          <w:p w14:paraId="40B41936">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kern w:val="2"/>
                <w:sz w:val="32"/>
                <w:szCs w:val="32"/>
                <w:vertAlign w:val="baseline"/>
                <w:lang w:val="en-US" w:eastAsia="zh-CN" w:bidi="ar-SA"/>
              </w:rPr>
            </w:pPr>
            <w:r>
              <w:rPr>
                <w:rFonts w:hint="eastAsia" w:ascii="宋体" w:hAnsi="宋体" w:eastAsia="宋体" w:cs="宋体"/>
                <w:color w:val="auto"/>
                <w:kern w:val="0"/>
                <w:szCs w:val="21"/>
                <w:lang w:bidi="ar"/>
              </w:rPr>
              <w:t>00-999-49</w:t>
            </w:r>
          </w:p>
        </w:tc>
        <w:tc>
          <w:tcPr>
            <w:tcW w:w="1759" w:type="dxa"/>
            <w:shd w:val="clear" w:color="auto" w:fill="auto"/>
            <w:vAlign w:val="center"/>
          </w:tcPr>
          <w:p w14:paraId="2FDD0142">
            <w:pPr>
              <w:keepNext w:val="0"/>
              <w:keepLines w:val="0"/>
              <w:pageBreakBefore w:val="0"/>
              <w:kinsoku/>
              <w:wordWrap/>
              <w:overflowPunct/>
              <w:topLinePunct w:val="0"/>
              <w:autoSpaceDE w:val="0"/>
              <w:autoSpaceDN w:val="0"/>
              <w:bidi w:val="0"/>
              <w:adjustRightInd w:val="0"/>
              <w:snapToGrid/>
              <w:spacing w:line="3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失效药品</w:t>
            </w:r>
            <w:r>
              <w:rPr>
                <w:rFonts w:hint="eastAsia" w:ascii="宋体" w:hAnsi="宋体" w:eastAsia="宋体" w:cs="宋体"/>
                <w:color w:val="auto"/>
                <w:szCs w:val="21"/>
                <w:lang w:eastAsia="zh-CN"/>
              </w:rPr>
              <w:t>（</w:t>
            </w:r>
            <w:r>
              <w:rPr>
                <w:rFonts w:hint="eastAsia" w:ascii="宋体" w:hAnsi="宋体" w:eastAsia="宋体" w:cs="宋体"/>
                <w:color w:val="auto"/>
                <w:szCs w:val="21"/>
              </w:rPr>
              <w:t>有机无机废固</w:t>
            </w:r>
            <w:r>
              <w:rPr>
                <w:rFonts w:hint="eastAsia" w:ascii="宋体" w:hAnsi="宋体" w:eastAsia="宋体" w:cs="宋体"/>
                <w:color w:val="auto"/>
                <w:szCs w:val="21"/>
                <w:lang w:eastAsia="zh-CN"/>
              </w:rPr>
              <w:t>）</w:t>
            </w:r>
          </w:p>
        </w:tc>
        <w:tc>
          <w:tcPr>
            <w:tcW w:w="1413" w:type="dxa"/>
            <w:shd w:val="clear" w:color="auto" w:fill="auto"/>
            <w:vAlign w:val="center"/>
          </w:tcPr>
          <w:p w14:paraId="793C7E0E">
            <w:pPr>
              <w:keepNext w:val="0"/>
              <w:keepLines w:val="0"/>
              <w:pageBreakBefore w:val="0"/>
              <w:kinsoku/>
              <w:wordWrap/>
              <w:overflowPunct/>
              <w:topLinePunct w:val="0"/>
              <w:autoSpaceDE w:val="0"/>
              <w:autoSpaceDN w:val="0"/>
              <w:bidi w:val="0"/>
              <w:adjustRightInd w:val="0"/>
              <w:snapToGrid/>
              <w:spacing w:line="38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68.83</w:t>
            </w:r>
          </w:p>
        </w:tc>
        <w:tc>
          <w:tcPr>
            <w:tcW w:w="1414" w:type="dxa"/>
            <w:vAlign w:val="center"/>
          </w:tcPr>
          <w:p w14:paraId="6CA47CD2">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32"/>
                <w:vertAlign w:val="baseline"/>
              </w:rPr>
            </w:pPr>
          </w:p>
        </w:tc>
        <w:tc>
          <w:tcPr>
            <w:tcW w:w="1414" w:type="dxa"/>
            <w:vAlign w:val="center"/>
          </w:tcPr>
          <w:p w14:paraId="38D15A37">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32"/>
                <w:vertAlign w:val="baseline"/>
              </w:rPr>
            </w:pPr>
          </w:p>
        </w:tc>
      </w:tr>
      <w:tr w14:paraId="443F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0" w:type="dxa"/>
            <w:gridSpan w:val="6"/>
            <w:shd w:val="clear" w:color="auto" w:fill="auto"/>
            <w:vAlign w:val="center"/>
          </w:tcPr>
          <w:p w14:paraId="715359EA">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32"/>
                <w:vertAlign w:val="baseline"/>
              </w:rPr>
            </w:pPr>
            <w:r>
              <w:rPr>
                <w:rFonts w:hint="eastAsia" w:ascii="宋体" w:hAnsi="宋体" w:eastAsia="宋体" w:cs="宋体"/>
                <w:color w:val="auto"/>
                <w:sz w:val="21"/>
                <w:szCs w:val="21"/>
                <w:lang w:val="en-US" w:eastAsia="zh-CN"/>
              </w:rPr>
              <w:t>总金额</w:t>
            </w:r>
          </w:p>
        </w:tc>
        <w:tc>
          <w:tcPr>
            <w:tcW w:w="1414" w:type="dxa"/>
          </w:tcPr>
          <w:p w14:paraId="7EBD13CC">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32"/>
                <w:vertAlign w:val="baseline"/>
              </w:rPr>
            </w:pPr>
          </w:p>
        </w:tc>
      </w:tr>
    </w:tbl>
    <w:p w14:paraId="4C2CBE9E">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32"/>
        </w:rPr>
      </w:pPr>
    </w:p>
    <w:p w14:paraId="4EA151DD">
      <w:pPr>
        <w:pStyle w:val="28"/>
        <w:spacing w:line="600" w:lineRule="exact"/>
        <w:ind w:left="6240" w:hanging="6240" w:hangingChars="2600"/>
        <w:jc w:val="both"/>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公司名称（盖章）：</w:t>
      </w:r>
    </w:p>
    <w:p w14:paraId="09207DD7">
      <w:pPr>
        <w:pStyle w:val="28"/>
        <w:spacing w:line="600" w:lineRule="exact"/>
        <w:jc w:val="both"/>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联系人姓名：</w:t>
      </w:r>
    </w:p>
    <w:p w14:paraId="0EF43F12">
      <w:pPr>
        <w:pStyle w:val="28"/>
        <w:spacing w:line="600" w:lineRule="exact"/>
        <w:jc w:val="both"/>
        <w:rPr>
          <w:rFonts w:hint="eastAsia"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联系人电话：</w:t>
      </w:r>
    </w:p>
    <w:p w14:paraId="56AC7B0D">
      <w:pPr>
        <w:pStyle w:val="28"/>
        <w:spacing w:line="600" w:lineRule="exact"/>
        <w:jc w:val="both"/>
        <w:rPr>
          <w:rFonts w:hint="eastAsia"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联系人邮箱：</w:t>
      </w:r>
    </w:p>
    <w:p w14:paraId="1ABE3C2E">
      <w:pPr>
        <w:spacing w:line="600" w:lineRule="exact"/>
        <w:rPr>
          <w:rFonts w:hint="eastAsia" w:ascii="宋体" w:hAnsi="宋体" w:eastAsia="宋体" w:cs="宋体"/>
          <w:sz w:val="24"/>
        </w:rPr>
        <w:sectPr>
          <w:pgSz w:w="11906" w:h="16838"/>
          <w:pgMar w:top="1440" w:right="1474" w:bottom="1417" w:left="1587" w:header="851" w:footer="992" w:gutter="0"/>
          <w:pgNumType w:fmt="decimal"/>
          <w:cols w:space="425" w:num="1"/>
          <w:docGrid w:type="lines" w:linePitch="312" w:charSpace="0"/>
        </w:sectPr>
      </w:pPr>
      <w:r>
        <w:rPr>
          <w:rFonts w:hint="eastAsia" w:ascii="宋体" w:hAnsi="宋体" w:eastAsia="宋体" w:cs="宋体"/>
          <w:sz w:val="24"/>
        </w:rPr>
        <w:t xml:space="preserve">日期： </w:t>
      </w:r>
    </w:p>
    <w:p w14:paraId="21C6A764">
      <w:pPr>
        <w:spacing w:line="360" w:lineRule="auto"/>
        <w:jc w:val="both"/>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附件3</w:t>
      </w:r>
    </w:p>
    <w:p w14:paraId="4B7C2EFE">
      <w:pPr>
        <w:spacing w:line="360" w:lineRule="auto"/>
        <w:ind w:firstLine="560" w:firstLineChars="20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参与调查供应商的基本信息</w:t>
      </w:r>
    </w:p>
    <w:tbl>
      <w:tblPr>
        <w:tblStyle w:val="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160"/>
        <w:gridCol w:w="599"/>
        <w:gridCol w:w="1713"/>
        <w:gridCol w:w="200"/>
        <w:gridCol w:w="2140"/>
      </w:tblGrid>
      <w:tr w14:paraId="6924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3E6F988">
            <w:pPr>
              <w:spacing w:line="480" w:lineRule="exact"/>
              <w:jc w:val="center"/>
              <w:rPr>
                <w:rFonts w:hint="eastAsia" w:ascii="宋体" w:hAnsi="宋体" w:cs="宋体"/>
                <w:sz w:val="24"/>
              </w:rPr>
            </w:pPr>
            <w:r>
              <w:rPr>
                <w:rFonts w:hint="eastAsia" w:ascii="宋体" w:hAnsi="宋体" w:cs="宋体"/>
              </w:rPr>
              <w:t>供应商名称</w:t>
            </w:r>
          </w:p>
        </w:tc>
        <w:tc>
          <w:tcPr>
            <w:tcW w:w="2160" w:type="dxa"/>
            <w:tcBorders>
              <w:top w:val="single" w:color="auto" w:sz="4" w:space="0"/>
              <w:left w:val="single" w:color="auto" w:sz="4" w:space="0"/>
              <w:bottom w:val="single" w:color="auto" w:sz="4" w:space="0"/>
              <w:right w:val="single" w:color="auto" w:sz="4" w:space="0"/>
            </w:tcBorders>
            <w:noWrap/>
            <w:vAlign w:val="center"/>
          </w:tcPr>
          <w:p w14:paraId="6CDFE99E">
            <w:pPr>
              <w:spacing w:line="480" w:lineRule="exact"/>
              <w:rPr>
                <w:rFonts w:hint="eastAsia" w:ascii="宋体" w:hAnsi="宋体" w:cs="宋体"/>
                <w:sz w:val="24"/>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3CFBCF28">
            <w:pPr>
              <w:spacing w:line="480" w:lineRule="exact"/>
              <w:jc w:val="center"/>
              <w:rPr>
                <w:rFonts w:hint="eastAsia" w:ascii="宋体" w:hAnsi="宋体" w:cs="宋体"/>
                <w:sz w:val="24"/>
              </w:rPr>
            </w:pPr>
            <w:r>
              <w:rPr>
                <w:rFonts w:hint="eastAsia" w:ascii="宋体" w:hAnsi="宋体" w:cs="宋体"/>
              </w:rPr>
              <w:t>成立日期</w:t>
            </w:r>
          </w:p>
        </w:tc>
        <w:tc>
          <w:tcPr>
            <w:tcW w:w="2140" w:type="dxa"/>
            <w:tcBorders>
              <w:top w:val="single" w:color="auto" w:sz="4" w:space="0"/>
              <w:left w:val="single" w:color="auto" w:sz="4" w:space="0"/>
              <w:bottom w:val="single" w:color="auto" w:sz="4" w:space="0"/>
              <w:right w:val="single" w:color="auto" w:sz="4" w:space="0"/>
            </w:tcBorders>
            <w:noWrap/>
            <w:vAlign w:val="center"/>
          </w:tcPr>
          <w:p w14:paraId="73837C56">
            <w:pPr>
              <w:spacing w:line="480" w:lineRule="exact"/>
              <w:rPr>
                <w:rFonts w:hint="eastAsia" w:ascii="宋体" w:hAnsi="宋体" w:cs="宋体"/>
                <w:sz w:val="24"/>
              </w:rPr>
            </w:pPr>
          </w:p>
        </w:tc>
      </w:tr>
      <w:tr w14:paraId="4C2F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248" w:type="dxa"/>
            <w:gridSpan w:val="2"/>
            <w:tcBorders>
              <w:top w:val="single" w:color="auto" w:sz="4" w:space="0"/>
              <w:left w:val="single" w:color="auto" w:sz="4" w:space="0"/>
              <w:bottom w:val="single" w:color="auto" w:sz="4" w:space="0"/>
              <w:right w:val="single" w:color="auto" w:sz="4" w:space="0"/>
            </w:tcBorders>
            <w:noWrap/>
            <w:vAlign w:val="center"/>
          </w:tcPr>
          <w:p w14:paraId="4BF221EC">
            <w:pPr>
              <w:spacing w:line="480" w:lineRule="exact"/>
              <w:jc w:val="center"/>
              <w:rPr>
                <w:rFonts w:hint="eastAsia" w:ascii="宋体" w:hAnsi="宋体" w:cs="宋体"/>
                <w:sz w:val="24"/>
              </w:rPr>
            </w:pPr>
            <w:r>
              <w:rPr>
                <w:rFonts w:hint="eastAsia" w:ascii="宋体" w:hAnsi="宋体" w:cs="宋体"/>
                <w:sz w:val="24"/>
              </w:rPr>
              <w:t>企业</w:t>
            </w:r>
            <w:r>
              <w:rPr>
                <w:rFonts w:hint="eastAsia" w:ascii="宋体" w:hAnsi="宋体" w:cs="宋体"/>
              </w:rPr>
              <w:t>统一社会信用代码</w:t>
            </w:r>
          </w:p>
        </w:tc>
        <w:tc>
          <w:tcPr>
            <w:tcW w:w="4652" w:type="dxa"/>
            <w:gridSpan w:val="4"/>
            <w:tcBorders>
              <w:top w:val="single" w:color="auto" w:sz="4" w:space="0"/>
              <w:left w:val="single" w:color="auto" w:sz="4" w:space="0"/>
              <w:bottom w:val="single" w:color="auto" w:sz="4" w:space="0"/>
              <w:right w:val="single" w:color="auto" w:sz="4" w:space="0"/>
            </w:tcBorders>
            <w:noWrap/>
            <w:vAlign w:val="center"/>
          </w:tcPr>
          <w:p w14:paraId="3865A7F5">
            <w:pPr>
              <w:spacing w:line="480" w:lineRule="exact"/>
              <w:jc w:val="center"/>
              <w:rPr>
                <w:rFonts w:hint="eastAsia" w:ascii="宋体" w:hAnsi="宋体" w:cs="宋体"/>
                <w:sz w:val="24"/>
              </w:rPr>
            </w:pPr>
          </w:p>
        </w:tc>
      </w:tr>
      <w:tr w14:paraId="1D33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8F15053">
            <w:pPr>
              <w:spacing w:line="480" w:lineRule="exact"/>
              <w:jc w:val="center"/>
              <w:rPr>
                <w:rFonts w:hint="eastAsia" w:ascii="宋体" w:hAnsi="宋体" w:cs="宋体"/>
                <w:sz w:val="24"/>
              </w:rPr>
            </w:pPr>
            <w:r>
              <w:rPr>
                <w:rFonts w:hint="eastAsia" w:ascii="宋体" w:hAnsi="宋体" w:cs="宋体"/>
              </w:rPr>
              <w:t>注册资本</w:t>
            </w:r>
          </w:p>
        </w:tc>
        <w:tc>
          <w:tcPr>
            <w:tcW w:w="2160" w:type="dxa"/>
            <w:tcBorders>
              <w:top w:val="single" w:color="auto" w:sz="4" w:space="0"/>
              <w:left w:val="single" w:color="auto" w:sz="4" w:space="0"/>
              <w:bottom w:val="single" w:color="auto" w:sz="4" w:space="0"/>
              <w:right w:val="single" w:color="auto" w:sz="4" w:space="0"/>
            </w:tcBorders>
            <w:noWrap/>
            <w:vAlign w:val="center"/>
          </w:tcPr>
          <w:p w14:paraId="618FCFD3">
            <w:pPr>
              <w:spacing w:line="480" w:lineRule="exact"/>
              <w:rPr>
                <w:rFonts w:hint="eastAsia" w:ascii="宋体" w:hAnsi="宋体" w:cs="宋体"/>
                <w:sz w:val="24"/>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33E1BCFB">
            <w:pPr>
              <w:spacing w:line="480" w:lineRule="exact"/>
              <w:jc w:val="center"/>
              <w:rPr>
                <w:rFonts w:hint="eastAsia" w:ascii="宋体" w:hAnsi="宋体" w:cs="宋体"/>
                <w:sz w:val="24"/>
              </w:rPr>
            </w:pPr>
            <w:r>
              <w:rPr>
                <w:rFonts w:hint="eastAsia" w:ascii="宋体" w:hAnsi="宋体" w:cs="宋体"/>
              </w:rPr>
              <w:t>企业类型</w:t>
            </w:r>
          </w:p>
        </w:tc>
        <w:tc>
          <w:tcPr>
            <w:tcW w:w="2140" w:type="dxa"/>
            <w:tcBorders>
              <w:top w:val="single" w:color="auto" w:sz="4" w:space="0"/>
              <w:left w:val="single" w:color="auto" w:sz="4" w:space="0"/>
              <w:bottom w:val="single" w:color="auto" w:sz="4" w:space="0"/>
              <w:right w:val="single" w:color="auto" w:sz="4" w:space="0"/>
            </w:tcBorders>
            <w:noWrap/>
            <w:vAlign w:val="center"/>
          </w:tcPr>
          <w:p w14:paraId="7EF63544">
            <w:pPr>
              <w:spacing w:line="480" w:lineRule="exact"/>
              <w:rPr>
                <w:rFonts w:hint="eastAsia" w:ascii="宋体" w:hAnsi="宋体" w:cs="宋体"/>
                <w:sz w:val="24"/>
              </w:rPr>
            </w:pPr>
          </w:p>
        </w:tc>
      </w:tr>
      <w:tr w14:paraId="1DED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BDBABE8">
            <w:pPr>
              <w:spacing w:line="480" w:lineRule="exact"/>
              <w:jc w:val="center"/>
              <w:rPr>
                <w:rFonts w:hint="eastAsia" w:ascii="宋体" w:hAnsi="宋体" w:cs="宋体"/>
                <w:sz w:val="24"/>
              </w:rPr>
            </w:pPr>
            <w:r>
              <w:rPr>
                <w:rFonts w:hint="eastAsia" w:ascii="宋体" w:hAnsi="宋体" w:cs="宋体"/>
              </w:rPr>
              <w:t>批准登记机关</w:t>
            </w:r>
          </w:p>
        </w:tc>
        <w:tc>
          <w:tcPr>
            <w:tcW w:w="2160" w:type="dxa"/>
            <w:tcBorders>
              <w:top w:val="single" w:color="auto" w:sz="4" w:space="0"/>
              <w:left w:val="single" w:color="auto" w:sz="4" w:space="0"/>
              <w:bottom w:val="single" w:color="auto" w:sz="4" w:space="0"/>
              <w:right w:val="single" w:color="auto" w:sz="4" w:space="0"/>
            </w:tcBorders>
            <w:noWrap/>
            <w:vAlign w:val="center"/>
          </w:tcPr>
          <w:p w14:paraId="344B466B">
            <w:pPr>
              <w:spacing w:line="480" w:lineRule="exact"/>
              <w:rPr>
                <w:rFonts w:hint="eastAsia" w:ascii="宋体" w:hAnsi="宋体" w:cs="宋体"/>
                <w:sz w:val="24"/>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45ED297E">
            <w:pPr>
              <w:spacing w:line="480" w:lineRule="exact"/>
              <w:jc w:val="center"/>
              <w:rPr>
                <w:rFonts w:hint="eastAsia" w:ascii="宋体" w:hAnsi="宋体" w:cs="宋体"/>
                <w:sz w:val="24"/>
              </w:rPr>
            </w:pPr>
            <w:r>
              <w:rPr>
                <w:rFonts w:hint="eastAsia" w:ascii="宋体" w:hAnsi="宋体" w:cs="宋体"/>
              </w:rPr>
              <w:t>企业属性</w:t>
            </w:r>
          </w:p>
        </w:tc>
        <w:tc>
          <w:tcPr>
            <w:tcW w:w="2140" w:type="dxa"/>
            <w:tcBorders>
              <w:top w:val="single" w:color="auto" w:sz="4" w:space="0"/>
              <w:left w:val="single" w:color="auto" w:sz="4" w:space="0"/>
              <w:bottom w:val="single" w:color="auto" w:sz="4" w:space="0"/>
              <w:right w:val="single" w:color="auto" w:sz="4" w:space="0"/>
            </w:tcBorders>
            <w:noWrap/>
            <w:vAlign w:val="center"/>
          </w:tcPr>
          <w:p w14:paraId="576C05EC">
            <w:pPr>
              <w:spacing w:line="480" w:lineRule="exact"/>
              <w:rPr>
                <w:rFonts w:hint="eastAsia" w:ascii="宋体" w:hAnsi="宋体" w:cs="宋体"/>
                <w:sz w:val="24"/>
              </w:rPr>
            </w:pPr>
            <w:r>
              <w:rPr>
                <w:rFonts w:hint="eastAsia" w:ascii="宋体" w:hAnsi="宋体" w:cs="宋体"/>
                <w:szCs w:val="21"/>
              </w:rPr>
              <w:t>大/中/小/微型企业</w:t>
            </w:r>
          </w:p>
        </w:tc>
      </w:tr>
      <w:tr w14:paraId="7BD0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D0D3AC5">
            <w:pPr>
              <w:spacing w:line="480" w:lineRule="exact"/>
              <w:jc w:val="center"/>
              <w:rPr>
                <w:rFonts w:hint="eastAsia" w:ascii="宋体" w:hAnsi="宋体" w:cs="宋体"/>
                <w:sz w:val="24"/>
              </w:rPr>
            </w:pPr>
            <w:r>
              <w:rPr>
                <w:rFonts w:hint="eastAsia" w:ascii="宋体" w:hAnsi="宋体" w:cs="宋体"/>
              </w:rPr>
              <w:t>法定代表人</w:t>
            </w:r>
          </w:p>
        </w:tc>
        <w:tc>
          <w:tcPr>
            <w:tcW w:w="2160" w:type="dxa"/>
            <w:tcBorders>
              <w:top w:val="single" w:color="auto" w:sz="4" w:space="0"/>
              <w:left w:val="single" w:color="auto" w:sz="4" w:space="0"/>
              <w:bottom w:val="single" w:color="auto" w:sz="4" w:space="0"/>
              <w:right w:val="single" w:color="auto" w:sz="4" w:space="0"/>
            </w:tcBorders>
            <w:noWrap/>
            <w:vAlign w:val="center"/>
          </w:tcPr>
          <w:p w14:paraId="493A59FC">
            <w:pPr>
              <w:spacing w:line="480" w:lineRule="exact"/>
              <w:rPr>
                <w:rFonts w:hint="eastAsia" w:ascii="宋体" w:hAnsi="宋体" w:cs="宋体"/>
                <w:sz w:val="24"/>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758B6ECA">
            <w:pPr>
              <w:spacing w:line="480" w:lineRule="exact"/>
              <w:jc w:val="center"/>
              <w:rPr>
                <w:rFonts w:hint="eastAsia" w:ascii="宋体" w:hAnsi="宋体" w:cs="宋体"/>
                <w:sz w:val="24"/>
              </w:rPr>
            </w:pPr>
            <w:r>
              <w:rPr>
                <w:rFonts w:hint="eastAsia" w:ascii="宋体" w:hAnsi="宋体" w:cs="宋体"/>
              </w:rPr>
              <w:t>营业期限</w:t>
            </w:r>
          </w:p>
        </w:tc>
        <w:tc>
          <w:tcPr>
            <w:tcW w:w="2140" w:type="dxa"/>
            <w:tcBorders>
              <w:top w:val="single" w:color="auto" w:sz="4" w:space="0"/>
              <w:left w:val="single" w:color="auto" w:sz="4" w:space="0"/>
              <w:bottom w:val="single" w:color="auto" w:sz="4" w:space="0"/>
              <w:right w:val="single" w:color="auto" w:sz="4" w:space="0"/>
            </w:tcBorders>
            <w:noWrap/>
            <w:vAlign w:val="center"/>
          </w:tcPr>
          <w:p w14:paraId="45C93FD5">
            <w:pPr>
              <w:spacing w:line="480" w:lineRule="exact"/>
              <w:rPr>
                <w:rFonts w:hint="eastAsia" w:ascii="宋体" w:hAnsi="宋体" w:cs="宋体"/>
                <w:sz w:val="24"/>
              </w:rPr>
            </w:pPr>
          </w:p>
        </w:tc>
      </w:tr>
      <w:tr w14:paraId="1447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1AE1003">
            <w:pPr>
              <w:spacing w:line="480" w:lineRule="exact"/>
              <w:jc w:val="center"/>
              <w:rPr>
                <w:rFonts w:hint="eastAsia" w:ascii="宋体" w:hAnsi="宋体" w:cs="宋体"/>
                <w:sz w:val="24"/>
              </w:rPr>
            </w:pPr>
            <w:r>
              <w:rPr>
                <w:rFonts w:hint="eastAsia" w:ascii="宋体" w:hAnsi="宋体" w:cs="宋体"/>
              </w:rPr>
              <w:t>主营业务</w:t>
            </w:r>
          </w:p>
        </w:tc>
        <w:tc>
          <w:tcPr>
            <w:tcW w:w="6812" w:type="dxa"/>
            <w:gridSpan w:val="5"/>
            <w:tcBorders>
              <w:top w:val="single" w:color="auto" w:sz="4" w:space="0"/>
              <w:left w:val="single" w:color="auto" w:sz="4" w:space="0"/>
              <w:bottom w:val="single" w:color="auto" w:sz="4" w:space="0"/>
              <w:right w:val="single" w:color="auto" w:sz="4" w:space="0"/>
            </w:tcBorders>
            <w:noWrap/>
            <w:vAlign w:val="center"/>
          </w:tcPr>
          <w:p w14:paraId="20FBAA0D">
            <w:pPr>
              <w:spacing w:line="480" w:lineRule="exact"/>
              <w:rPr>
                <w:rFonts w:hint="eastAsia" w:ascii="宋体" w:hAnsi="宋体" w:cs="宋体"/>
                <w:sz w:val="24"/>
              </w:rPr>
            </w:pPr>
          </w:p>
        </w:tc>
      </w:tr>
      <w:tr w14:paraId="71B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5233D9C">
            <w:pPr>
              <w:spacing w:line="480" w:lineRule="exact"/>
              <w:jc w:val="center"/>
              <w:rPr>
                <w:rFonts w:hint="eastAsia" w:ascii="宋体" w:hAnsi="宋体" w:cs="宋体"/>
                <w:sz w:val="24"/>
              </w:rPr>
            </w:pPr>
            <w:r>
              <w:rPr>
                <w:rFonts w:hint="eastAsia" w:ascii="宋体" w:hAnsi="宋体" w:cs="宋体"/>
              </w:rPr>
              <w:t>地  址</w:t>
            </w:r>
          </w:p>
        </w:tc>
        <w:tc>
          <w:tcPr>
            <w:tcW w:w="6812" w:type="dxa"/>
            <w:gridSpan w:val="5"/>
            <w:tcBorders>
              <w:top w:val="single" w:color="auto" w:sz="4" w:space="0"/>
              <w:left w:val="single" w:color="auto" w:sz="4" w:space="0"/>
              <w:bottom w:val="single" w:color="auto" w:sz="4" w:space="0"/>
              <w:right w:val="single" w:color="auto" w:sz="4" w:space="0"/>
            </w:tcBorders>
            <w:noWrap/>
            <w:vAlign w:val="center"/>
          </w:tcPr>
          <w:p w14:paraId="1004DF6F">
            <w:pPr>
              <w:spacing w:line="480" w:lineRule="exact"/>
              <w:rPr>
                <w:rFonts w:hint="eastAsia" w:ascii="宋体" w:hAnsi="宋体" w:cs="宋体"/>
                <w:sz w:val="24"/>
              </w:rPr>
            </w:pPr>
          </w:p>
        </w:tc>
      </w:tr>
      <w:tr w14:paraId="3256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07C2478">
            <w:pPr>
              <w:spacing w:line="480" w:lineRule="exact"/>
              <w:jc w:val="center"/>
              <w:rPr>
                <w:rFonts w:hint="eastAsia" w:ascii="宋体" w:hAnsi="宋体" w:cs="宋体"/>
                <w:sz w:val="24"/>
              </w:rPr>
            </w:pPr>
            <w:r>
              <w:rPr>
                <w:rFonts w:hint="eastAsia" w:ascii="宋体" w:hAnsi="宋体" w:cs="宋体"/>
              </w:rPr>
              <w:t>电  话</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67B6A824">
            <w:pPr>
              <w:spacing w:line="480" w:lineRule="exact"/>
              <w:rPr>
                <w:rFonts w:hint="eastAsia" w:ascii="宋体" w:hAnsi="宋体" w:cs="宋体"/>
                <w:sz w:val="24"/>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4CCF5B0F">
            <w:pPr>
              <w:spacing w:line="480" w:lineRule="exact"/>
              <w:jc w:val="center"/>
              <w:rPr>
                <w:rFonts w:hint="eastAsia" w:ascii="宋体" w:hAnsi="宋体" w:cs="宋体"/>
                <w:sz w:val="24"/>
              </w:rPr>
            </w:pPr>
            <w:r>
              <w:rPr>
                <w:rFonts w:hint="eastAsia" w:ascii="宋体" w:hAnsi="宋体" w:cs="宋体"/>
              </w:rPr>
              <w:t>传  真</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674F1056">
            <w:pPr>
              <w:spacing w:line="480" w:lineRule="exact"/>
              <w:rPr>
                <w:rFonts w:hint="eastAsia" w:ascii="宋体" w:hAnsi="宋体" w:cs="宋体"/>
                <w:sz w:val="24"/>
              </w:rPr>
            </w:pPr>
          </w:p>
        </w:tc>
      </w:tr>
      <w:tr w14:paraId="27A5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750A0931">
            <w:pPr>
              <w:spacing w:line="480" w:lineRule="exact"/>
              <w:jc w:val="center"/>
              <w:rPr>
                <w:rFonts w:hint="eastAsia" w:ascii="宋体" w:hAnsi="宋体" w:cs="宋体"/>
                <w:sz w:val="24"/>
              </w:rPr>
            </w:pPr>
            <w:r>
              <w:rPr>
                <w:rFonts w:hint="eastAsia" w:ascii="宋体" w:hAnsi="宋体" w:cs="宋体"/>
              </w:rPr>
              <w:t>邮  箱</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27584E1D">
            <w:pPr>
              <w:spacing w:line="480" w:lineRule="exact"/>
              <w:rPr>
                <w:rFonts w:hint="eastAsia" w:ascii="宋体" w:hAnsi="宋体" w:cs="宋体"/>
                <w:sz w:val="24"/>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5446A4C4">
            <w:pPr>
              <w:spacing w:line="480" w:lineRule="exact"/>
              <w:jc w:val="center"/>
              <w:rPr>
                <w:rFonts w:hint="eastAsia" w:ascii="宋体" w:hAnsi="宋体" w:cs="宋体"/>
                <w:sz w:val="24"/>
              </w:rPr>
            </w:pPr>
            <w:r>
              <w:rPr>
                <w:rFonts w:hint="eastAsia" w:ascii="宋体" w:hAnsi="宋体" w:cs="宋体"/>
              </w:rPr>
              <w:t>邮  编</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00AB033C">
            <w:pPr>
              <w:spacing w:line="480" w:lineRule="exact"/>
              <w:rPr>
                <w:rFonts w:hint="eastAsia" w:ascii="宋体" w:hAnsi="宋体" w:cs="宋体"/>
                <w:sz w:val="24"/>
              </w:rPr>
            </w:pPr>
          </w:p>
        </w:tc>
      </w:tr>
      <w:tr w14:paraId="554B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2933E45C">
            <w:pPr>
              <w:spacing w:line="480" w:lineRule="exact"/>
              <w:jc w:val="center"/>
              <w:rPr>
                <w:rFonts w:hint="eastAsia" w:ascii="宋体" w:hAnsi="宋体" w:cs="宋体"/>
                <w:sz w:val="24"/>
              </w:rPr>
            </w:pPr>
            <w:r>
              <w:rPr>
                <w:rFonts w:hint="eastAsia" w:ascii="宋体" w:hAnsi="宋体" w:cs="宋体"/>
              </w:rPr>
              <w:t>联系人</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71D43B82">
            <w:pPr>
              <w:spacing w:line="480" w:lineRule="exact"/>
              <w:rPr>
                <w:rFonts w:hint="eastAsia" w:ascii="宋体" w:hAnsi="宋体" w:cs="宋体"/>
                <w:sz w:val="24"/>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2FFCD538">
            <w:pPr>
              <w:spacing w:line="480" w:lineRule="exact"/>
              <w:jc w:val="center"/>
              <w:rPr>
                <w:rFonts w:hint="eastAsia" w:ascii="宋体" w:hAnsi="宋体" w:cs="宋体"/>
                <w:sz w:val="24"/>
              </w:rPr>
            </w:pPr>
            <w:r>
              <w:rPr>
                <w:rFonts w:hint="eastAsia" w:ascii="宋体" w:hAnsi="宋体" w:cs="宋体"/>
              </w:rPr>
              <w:t>联系方式</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54180305">
            <w:pPr>
              <w:spacing w:line="480" w:lineRule="exact"/>
              <w:rPr>
                <w:rFonts w:hint="eastAsia" w:ascii="宋体" w:hAnsi="宋体" w:cs="宋体"/>
                <w:sz w:val="24"/>
              </w:rPr>
            </w:pPr>
          </w:p>
        </w:tc>
      </w:tr>
    </w:tbl>
    <w:p w14:paraId="0E4AD914">
      <w:pPr>
        <w:spacing w:line="360" w:lineRule="auto"/>
        <w:ind w:firstLine="840" w:firstLineChars="300"/>
        <w:jc w:val="left"/>
        <w:rPr>
          <w:rFonts w:hint="eastAsia" w:ascii="宋体" w:hAnsi="宋体" w:eastAsia="宋体" w:cs="宋体"/>
          <w:i/>
          <w:iCs/>
          <w:sz w:val="28"/>
          <w:szCs w:val="28"/>
          <w:u w:val="single"/>
        </w:rPr>
      </w:pPr>
    </w:p>
    <w:p w14:paraId="7EF7C1E9">
      <w:pPr>
        <w:spacing w:line="360" w:lineRule="auto"/>
        <w:ind w:firstLine="840" w:firstLineChars="300"/>
        <w:jc w:val="left"/>
        <w:rPr>
          <w:rFonts w:hint="eastAsia" w:ascii="宋体" w:hAnsi="宋体" w:eastAsia="宋体" w:cs="宋体"/>
          <w:i/>
          <w:iCs/>
          <w:sz w:val="28"/>
          <w:szCs w:val="28"/>
          <w:u w:val="single"/>
        </w:rPr>
      </w:pPr>
    </w:p>
    <w:p w14:paraId="50A0ECA7">
      <w:pPr>
        <w:pStyle w:val="28"/>
        <w:spacing w:line="600" w:lineRule="exact"/>
        <w:ind w:left="6240" w:hanging="6240" w:hangingChars="2600"/>
        <w:jc w:val="both"/>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公司名称（盖章）：</w:t>
      </w:r>
    </w:p>
    <w:p w14:paraId="00B4C729">
      <w:pPr>
        <w:pStyle w:val="28"/>
        <w:spacing w:line="600" w:lineRule="exact"/>
        <w:jc w:val="both"/>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联系人姓名：</w:t>
      </w:r>
    </w:p>
    <w:p w14:paraId="467EB067">
      <w:pPr>
        <w:pStyle w:val="28"/>
        <w:spacing w:line="600" w:lineRule="exact"/>
        <w:jc w:val="both"/>
        <w:rPr>
          <w:rFonts w:hint="eastAsia"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联系人电话：</w:t>
      </w:r>
    </w:p>
    <w:p w14:paraId="0606B718">
      <w:pPr>
        <w:pStyle w:val="28"/>
        <w:spacing w:line="600" w:lineRule="exact"/>
        <w:jc w:val="both"/>
        <w:rPr>
          <w:rFonts w:hint="eastAsia"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联系人邮箱：</w:t>
      </w:r>
    </w:p>
    <w:p w14:paraId="03FEE545">
      <w:pPr>
        <w:spacing w:line="600" w:lineRule="exact"/>
        <w:rPr>
          <w:rFonts w:hint="eastAsia" w:ascii="宋体" w:hAnsi="宋体" w:eastAsia="宋体" w:cs="宋体"/>
          <w:sz w:val="24"/>
        </w:rPr>
      </w:pPr>
      <w:r>
        <w:rPr>
          <w:rFonts w:hint="eastAsia" w:ascii="宋体" w:hAnsi="宋体" w:eastAsia="宋体" w:cs="宋体"/>
          <w:sz w:val="24"/>
        </w:rPr>
        <w:t xml:space="preserve">日期： </w:t>
      </w:r>
    </w:p>
    <w:p w14:paraId="3568756E"/>
    <w:p w14:paraId="32B4660C">
      <w:pPr>
        <w:spacing w:line="460" w:lineRule="exact"/>
        <w:rPr>
          <w:rFonts w:ascii="宋体" w:hAnsi="宋体" w:cs="仿宋"/>
          <w:bCs/>
          <w:color w:val="000000"/>
        </w:rPr>
        <w:sectPr>
          <w:pgSz w:w="11906" w:h="16838"/>
          <w:pgMar w:top="1440" w:right="1474" w:bottom="1417" w:left="1587" w:header="851" w:footer="992" w:gutter="0"/>
          <w:pgNumType w:fmt="decimal"/>
          <w:cols w:space="425" w:num="1"/>
          <w:docGrid w:type="lines" w:linePitch="312" w:charSpace="0"/>
        </w:sectPr>
      </w:pPr>
    </w:p>
    <w:p w14:paraId="716EE7EB">
      <w:pPr>
        <w:widowControl/>
        <w:spacing w:line="560" w:lineRule="exact"/>
        <w:jc w:val="left"/>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附件</w:t>
      </w:r>
      <w:r>
        <w:rPr>
          <w:rFonts w:hint="eastAsia" w:ascii="宋体" w:hAnsi="宋体" w:eastAsia="宋体" w:cs="宋体"/>
          <w:b/>
          <w:bCs/>
          <w:kern w:val="0"/>
          <w:sz w:val="24"/>
          <w:shd w:val="clear" w:color="auto" w:fill="FFFFFF"/>
          <w:lang w:val="en-US" w:eastAsia="zh-CN"/>
        </w:rPr>
        <w:t>4</w:t>
      </w:r>
      <w:r>
        <w:rPr>
          <w:rFonts w:hint="eastAsia" w:ascii="宋体" w:hAnsi="宋体" w:eastAsia="宋体" w:cs="宋体"/>
          <w:b/>
          <w:bCs/>
          <w:kern w:val="0"/>
          <w:sz w:val="24"/>
          <w:shd w:val="clear" w:color="auto" w:fill="FFFFFF"/>
        </w:rPr>
        <w:t>：</w:t>
      </w:r>
    </w:p>
    <w:p w14:paraId="61AA9C17">
      <w:pPr>
        <w:widowControl/>
        <w:spacing w:line="560" w:lineRule="exact"/>
        <w:ind w:firstLine="640" w:firstLineChars="200"/>
        <w:jc w:val="center"/>
        <w:rPr>
          <w:rFonts w:hint="eastAsia" w:ascii="宋体" w:hAnsi="宋体" w:eastAsia="宋体" w:cs="宋体"/>
          <w:kern w:val="0"/>
          <w:sz w:val="32"/>
          <w:szCs w:val="32"/>
        </w:rPr>
      </w:pPr>
      <w:r>
        <w:rPr>
          <w:rFonts w:hint="eastAsia" w:ascii="宋体" w:hAnsi="宋体" w:eastAsia="宋体" w:cs="宋体"/>
          <w:kern w:val="0"/>
          <w:sz w:val="32"/>
          <w:szCs w:val="32"/>
        </w:rPr>
        <w:t>需求调查回复函</w:t>
      </w:r>
    </w:p>
    <w:p w14:paraId="36F26189">
      <w:pPr>
        <w:pStyle w:val="3"/>
        <w:rPr>
          <w:rFonts w:hint="eastAsia" w:ascii="宋体" w:hAnsi="宋体" w:eastAsia="宋体" w:cs="宋体"/>
        </w:rPr>
      </w:pPr>
    </w:p>
    <w:p w14:paraId="0A143EF7">
      <w:pPr>
        <w:widowControl/>
        <w:spacing w:after="156" w:afterLines="50" w:line="560" w:lineRule="exact"/>
        <w:jc w:val="left"/>
        <w:rPr>
          <w:rFonts w:hint="eastAsia" w:ascii="宋体" w:hAnsi="宋体" w:eastAsia="宋体" w:cs="宋体"/>
          <w:sz w:val="32"/>
          <w:szCs w:val="32"/>
        </w:rPr>
      </w:pPr>
      <w:r>
        <w:rPr>
          <w:rFonts w:hint="eastAsia" w:ascii="宋体" w:hAnsi="宋体" w:eastAsia="宋体" w:cs="宋体"/>
          <w:kern w:val="0"/>
          <w:sz w:val="32"/>
          <w:szCs w:val="32"/>
          <w:u w:val="single"/>
        </w:rPr>
        <w:t>广西中医药大学</w:t>
      </w:r>
      <w:r>
        <w:rPr>
          <w:rFonts w:hint="eastAsia" w:ascii="宋体" w:hAnsi="宋体" w:eastAsia="宋体" w:cs="宋体"/>
          <w:kern w:val="0"/>
          <w:sz w:val="32"/>
          <w:szCs w:val="32"/>
        </w:rPr>
        <w:t>：</w:t>
      </w:r>
    </w:p>
    <w:p w14:paraId="52A54234">
      <w:pPr>
        <w:widowControl/>
        <w:spacing w:line="560" w:lineRule="exact"/>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根据贵单位发布的“</w:t>
      </w:r>
      <w:r>
        <w:rPr>
          <w:rFonts w:hint="eastAsia" w:ascii="宋体" w:hAnsi="宋体" w:eastAsia="宋体" w:cs="宋体"/>
          <w:b w:val="0"/>
          <w:bCs w:val="0"/>
          <w:sz w:val="32"/>
          <w:szCs w:val="32"/>
          <w:lang w:val="en-US" w:eastAsia="zh-CN"/>
        </w:rPr>
        <w:t>2026年实验室危险废物处置服务</w:t>
      </w:r>
      <w:r>
        <w:rPr>
          <w:rFonts w:hint="eastAsia" w:ascii="宋体" w:hAnsi="宋体" w:eastAsia="宋体" w:cs="宋体"/>
          <w:kern w:val="0"/>
          <w:sz w:val="32"/>
          <w:szCs w:val="32"/>
        </w:rPr>
        <w:t>市场</w:t>
      </w:r>
      <w:r>
        <w:rPr>
          <w:rFonts w:hint="eastAsia" w:ascii="宋体" w:hAnsi="宋体" w:eastAsia="宋体" w:cs="宋体"/>
          <w:kern w:val="0"/>
          <w:sz w:val="32"/>
          <w:szCs w:val="32"/>
          <w:lang w:val="en-US" w:eastAsia="zh-CN"/>
        </w:rPr>
        <w:t>征集公告</w:t>
      </w:r>
      <w:r>
        <w:rPr>
          <w:rFonts w:hint="eastAsia" w:ascii="宋体" w:hAnsi="宋体" w:eastAsia="宋体" w:cs="宋体"/>
          <w:kern w:val="0"/>
          <w:sz w:val="32"/>
          <w:szCs w:val="32"/>
        </w:rPr>
        <w:t>”，我公司符合公告规定的资格条件，经我公司研究决定，我公司愿意参与该项目的需求</w:t>
      </w:r>
      <w:r>
        <w:rPr>
          <w:rFonts w:hint="eastAsia" w:ascii="宋体" w:hAnsi="宋体" w:eastAsia="宋体" w:cs="宋体"/>
          <w:kern w:val="0"/>
          <w:sz w:val="32"/>
          <w:szCs w:val="32"/>
          <w:lang w:val="en-US" w:eastAsia="zh-CN"/>
        </w:rPr>
        <w:t>征集</w:t>
      </w:r>
      <w:r>
        <w:rPr>
          <w:rFonts w:hint="eastAsia" w:ascii="宋体" w:hAnsi="宋体" w:eastAsia="宋体" w:cs="宋体"/>
          <w:kern w:val="0"/>
          <w:sz w:val="32"/>
          <w:szCs w:val="32"/>
        </w:rPr>
        <w:t>，我公司承诺在本次</w:t>
      </w:r>
      <w:r>
        <w:rPr>
          <w:rFonts w:hint="eastAsia" w:ascii="宋体" w:hAnsi="宋体" w:eastAsia="宋体" w:cs="宋体"/>
          <w:kern w:val="0"/>
          <w:sz w:val="32"/>
          <w:szCs w:val="32"/>
          <w:lang w:val="en-US" w:eastAsia="zh-CN"/>
        </w:rPr>
        <w:t>需求征集</w:t>
      </w:r>
      <w:r>
        <w:rPr>
          <w:rFonts w:hint="eastAsia" w:ascii="宋体" w:hAnsi="宋体" w:eastAsia="宋体" w:cs="宋体"/>
          <w:kern w:val="0"/>
          <w:sz w:val="32"/>
          <w:szCs w:val="32"/>
        </w:rPr>
        <w:t>中无其他不符合法律法规的行为。</w:t>
      </w:r>
    </w:p>
    <w:p w14:paraId="7DCA37F1">
      <w:pPr>
        <w:pStyle w:val="3"/>
        <w:rPr>
          <w:rFonts w:hint="eastAsia" w:ascii="宋体" w:hAnsi="宋体" w:eastAsia="宋体" w:cs="宋体"/>
        </w:rPr>
      </w:pPr>
    </w:p>
    <w:p w14:paraId="7C87F3E7">
      <w:pPr>
        <w:widowControl/>
        <w:spacing w:line="560" w:lineRule="exact"/>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附：公司《营业执照》及相关资质证书复印件</w:t>
      </w:r>
    </w:p>
    <w:p w14:paraId="1998D0D9">
      <w:pPr>
        <w:widowControl/>
        <w:spacing w:line="560" w:lineRule="exact"/>
        <w:ind w:firstLine="640" w:firstLineChars="200"/>
        <w:jc w:val="left"/>
        <w:rPr>
          <w:rFonts w:hint="eastAsia" w:ascii="宋体" w:hAnsi="宋体" w:eastAsia="宋体" w:cs="宋体"/>
          <w:kern w:val="0"/>
          <w:sz w:val="32"/>
          <w:szCs w:val="32"/>
        </w:rPr>
      </w:pPr>
    </w:p>
    <w:p w14:paraId="6DA04957">
      <w:pPr>
        <w:widowControl/>
        <w:spacing w:line="560" w:lineRule="exact"/>
        <w:ind w:firstLine="640" w:firstLineChars="200"/>
        <w:jc w:val="left"/>
        <w:rPr>
          <w:rFonts w:hint="eastAsia" w:ascii="宋体" w:hAnsi="宋体" w:eastAsia="宋体" w:cs="宋体"/>
          <w:kern w:val="0"/>
          <w:sz w:val="32"/>
          <w:szCs w:val="32"/>
        </w:rPr>
      </w:pPr>
    </w:p>
    <w:p w14:paraId="1BFD3F67">
      <w:pPr>
        <w:widowControl/>
        <w:spacing w:line="560" w:lineRule="exact"/>
        <w:ind w:firstLine="640" w:firstLineChars="200"/>
        <w:jc w:val="left"/>
        <w:rPr>
          <w:rFonts w:hint="eastAsia" w:ascii="宋体" w:hAnsi="宋体" w:eastAsia="宋体" w:cs="宋体"/>
          <w:kern w:val="0"/>
          <w:sz w:val="32"/>
          <w:szCs w:val="32"/>
        </w:rPr>
      </w:pPr>
    </w:p>
    <w:p w14:paraId="42292375">
      <w:pPr>
        <w:widowControl/>
        <w:spacing w:line="560" w:lineRule="exact"/>
        <w:ind w:firstLine="640" w:firstLineChars="200"/>
        <w:jc w:val="left"/>
        <w:rPr>
          <w:rFonts w:hint="eastAsia" w:ascii="宋体" w:hAnsi="宋体" w:eastAsia="宋体" w:cs="宋体"/>
          <w:kern w:val="0"/>
          <w:sz w:val="32"/>
          <w:szCs w:val="32"/>
        </w:rPr>
      </w:pPr>
    </w:p>
    <w:p w14:paraId="4D8C2B0B">
      <w:pPr>
        <w:widowControl/>
        <w:spacing w:line="560" w:lineRule="exact"/>
        <w:ind w:firstLine="640" w:firstLineChars="200"/>
        <w:jc w:val="left"/>
        <w:rPr>
          <w:rFonts w:hint="eastAsia" w:ascii="宋体" w:hAnsi="宋体" w:eastAsia="宋体" w:cs="宋体"/>
          <w:kern w:val="0"/>
          <w:sz w:val="32"/>
          <w:szCs w:val="32"/>
        </w:rPr>
      </w:pPr>
    </w:p>
    <w:p w14:paraId="5BE2B2A4">
      <w:pPr>
        <w:pStyle w:val="28"/>
        <w:spacing w:line="600" w:lineRule="exact"/>
        <w:ind w:left="6240" w:hanging="6240" w:hangingChars="2600"/>
        <w:jc w:val="both"/>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公司名称（盖章）：</w:t>
      </w:r>
    </w:p>
    <w:p w14:paraId="112A729B">
      <w:pPr>
        <w:pStyle w:val="28"/>
        <w:spacing w:line="600" w:lineRule="exact"/>
        <w:jc w:val="both"/>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联系人姓名：</w:t>
      </w:r>
    </w:p>
    <w:p w14:paraId="79902F1D">
      <w:pPr>
        <w:pStyle w:val="28"/>
        <w:spacing w:line="600" w:lineRule="exact"/>
        <w:jc w:val="both"/>
        <w:rPr>
          <w:rFonts w:hint="eastAsia"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联系人电话：</w:t>
      </w:r>
    </w:p>
    <w:p w14:paraId="6A096B7C">
      <w:pPr>
        <w:pStyle w:val="28"/>
        <w:spacing w:line="600" w:lineRule="exact"/>
        <w:jc w:val="both"/>
        <w:rPr>
          <w:rFonts w:hint="eastAsia"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联系人邮箱：</w:t>
      </w:r>
    </w:p>
    <w:p w14:paraId="34263EE9">
      <w:pPr>
        <w:spacing w:line="600" w:lineRule="exact"/>
        <w:rPr>
          <w:rFonts w:hint="eastAsia" w:ascii="宋体" w:hAnsi="宋体" w:eastAsia="宋体" w:cs="宋体"/>
          <w:sz w:val="24"/>
        </w:rPr>
      </w:pPr>
      <w:r>
        <w:rPr>
          <w:rFonts w:hint="eastAsia" w:ascii="宋体" w:hAnsi="宋体" w:eastAsia="宋体" w:cs="宋体"/>
          <w:sz w:val="24"/>
        </w:rPr>
        <w:t xml:space="preserve">日期： </w:t>
      </w:r>
    </w:p>
    <w:p w14:paraId="2F6FACC4">
      <w:pPr>
        <w:spacing w:line="360" w:lineRule="auto"/>
      </w:pPr>
    </w:p>
    <w:sectPr>
      <w:pgSz w:w="11906" w:h="16838"/>
      <w:pgMar w:top="1440"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556638A3-405C-451E-8122-BBC902DDC0FA}"/>
  </w:font>
  <w:font w:name="Consolas">
    <w:panose1 w:val="020B0609020204030204"/>
    <w:charset w:val="00"/>
    <w:family w:val="modern"/>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1FEF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4EA06">
                          <w:pPr>
                            <w:pStyle w:val="5"/>
                            <w:keepNext w:val="0"/>
                            <w:keepLines w:val="0"/>
                            <w:pageBreakBefore w:val="0"/>
                            <w:widowControl w:val="0"/>
                            <w:kinsoku/>
                            <w:wordWrap/>
                            <w:overflowPunct/>
                            <w:topLinePunct w:val="0"/>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第</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页</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cs="Times New Roman"/>
                              <w:sz w:val="24"/>
                              <w:szCs w:val="24"/>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04EA06">
                    <w:pPr>
                      <w:pStyle w:val="5"/>
                      <w:keepNext w:val="0"/>
                      <w:keepLines w:val="0"/>
                      <w:pageBreakBefore w:val="0"/>
                      <w:widowControl w:val="0"/>
                      <w:kinsoku/>
                      <w:wordWrap/>
                      <w:overflowPunct/>
                      <w:topLinePunct w:val="0"/>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第</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页</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cs="Times New Roman"/>
                        <w:sz w:val="24"/>
                        <w:szCs w:val="24"/>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64D25">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4YzI5MTI4YWUyZGY5NTI2NmRlOWNkYjUyOWM3ZGQifQ=="/>
  </w:docVars>
  <w:rsids>
    <w:rsidRoot w:val="4ECA3554"/>
    <w:rsid w:val="00BF3DDB"/>
    <w:rsid w:val="00BF71BA"/>
    <w:rsid w:val="00C2220F"/>
    <w:rsid w:val="00C41A89"/>
    <w:rsid w:val="00CB7C49"/>
    <w:rsid w:val="00EA2208"/>
    <w:rsid w:val="019D115B"/>
    <w:rsid w:val="031A5D53"/>
    <w:rsid w:val="032558AB"/>
    <w:rsid w:val="05EC445F"/>
    <w:rsid w:val="15CC7E09"/>
    <w:rsid w:val="186B56B7"/>
    <w:rsid w:val="1A7867B1"/>
    <w:rsid w:val="1BAD4238"/>
    <w:rsid w:val="1BB2137E"/>
    <w:rsid w:val="1C1147C7"/>
    <w:rsid w:val="1F7A27E9"/>
    <w:rsid w:val="1F9E0FC4"/>
    <w:rsid w:val="20112FE8"/>
    <w:rsid w:val="202941D3"/>
    <w:rsid w:val="21A734D8"/>
    <w:rsid w:val="238014F4"/>
    <w:rsid w:val="23953996"/>
    <w:rsid w:val="25C0260F"/>
    <w:rsid w:val="25DD7BAC"/>
    <w:rsid w:val="262275D1"/>
    <w:rsid w:val="29995DFC"/>
    <w:rsid w:val="2AF63B74"/>
    <w:rsid w:val="2CFC5764"/>
    <w:rsid w:val="2FEC7953"/>
    <w:rsid w:val="30A203D8"/>
    <w:rsid w:val="31EB30BC"/>
    <w:rsid w:val="33BA699C"/>
    <w:rsid w:val="344838C6"/>
    <w:rsid w:val="364D190D"/>
    <w:rsid w:val="37DF5322"/>
    <w:rsid w:val="3AD65EC3"/>
    <w:rsid w:val="3BB80364"/>
    <w:rsid w:val="3C2D1E5B"/>
    <w:rsid w:val="3D5E0800"/>
    <w:rsid w:val="3DDA6CB7"/>
    <w:rsid w:val="3DEA6C57"/>
    <w:rsid w:val="42546DFF"/>
    <w:rsid w:val="42E87677"/>
    <w:rsid w:val="44164729"/>
    <w:rsid w:val="444B2629"/>
    <w:rsid w:val="44E73A68"/>
    <w:rsid w:val="45442C38"/>
    <w:rsid w:val="46007703"/>
    <w:rsid w:val="46CB53EF"/>
    <w:rsid w:val="47617B01"/>
    <w:rsid w:val="476D3711"/>
    <w:rsid w:val="47FA23BD"/>
    <w:rsid w:val="49441489"/>
    <w:rsid w:val="4AA30431"/>
    <w:rsid w:val="4D1D44CA"/>
    <w:rsid w:val="4DA8648A"/>
    <w:rsid w:val="4ECA3554"/>
    <w:rsid w:val="50526725"/>
    <w:rsid w:val="510A5DA3"/>
    <w:rsid w:val="5275268F"/>
    <w:rsid w:val="54576514"/>
    <w:rsid w:val="54B45586"/>
    <w:rsid w:val="577949F3"/>
    <w:rsid w:val="58112D82"/>
    <w:rsid w:val="592B61C1"/>
    <w:rsid w:val="5A2A3236"/>
    <w:rsid w:val="5A8E07B6"/>
    <w:rsid w:val="5C341831"/>
    <w:rsid w:val="5D6B7A80"/>
    <w:rsid w:val="63616BAA"/>
    <w:rsid w:val="6A2B7DCF"/>
    <w:rsid w:val="6D1159A8"/>
    <w:rsid w:val="6F1277AF"/>
    <w:rsid w:val="6FD358CF"/>
    <w:rsid w:val="71BD22CA"/>
    <w:rsid w:val="730016A1"/>
    <w:rsid w:val="748E3446"/>
    <w:rsid w:val="753D30AC"/>
    <w:rsid w:val="765C59F4"/>
    <w:rsid w:val="794C7378"/>
    <w:rsid w:val="79870D9A"/>
    <w:rsid w:val="7B667ECE"/>
    <w:rsid w:val="7E941F8F"/>
    <w:rsid w:val="7F716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kern w:val="0"/>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0"/>
    <w:rPr>
      <w:rFonts w:ascii="方正小标宋简体" w:hAnsi="方正小标宋简体" w:eastAsia="方正小标宋简体"/>
      <w:b/>
      <w:kern w:val="0"/>
      <w:sz w:val="44"/>
      <w:szCs w:val="44"/>
    </w:rPr>
  </w:style>
  <w:style w:type="paragraph" w:styleId="4">
    <w:name w:val="Body Text Indent"/>
    <w:basedOn w:val="1"/>
    <w:qFormat/>
    <w:uiPriority w:val="0"/>
    <w:pPr>
      <w:ind w:firstLine="830" w:firstLineChars="352"/>
    </w:pPr>
    <w:rPr>
      <w:rFonts w:ascii="仿宋_GB2312" w:eastAsia="仿宋_GB2312"/>
      <w:kern w:val="0"/>
      <w:sz w:val="32"/>
      <w:szCs w:val="20"/>
    </w:rPr>
  </w:style>
  <w:style w:type="paragraph" w:styleId="5">
    <w:name w:val="footer"/>
    <w:basedOn w:val="1"/>
    <w:link w:val="26"/>
    <w:qFormat/>
    <w:uiPriority w:val="0"/>
    <w:pPr>
      <w:tabs>
        <w:tab w:val="center" w:pos="4153"/>
        <w:tab w:val="right" w:pos="8306"/>
      </w:tabs>
      <w:snapToGrid w:val="0"/>
      <w:jc w:val="left"/>
    </w:pPr>
    <w:rPr>
      <w:sz w:val="18"/>
      <w:szCs w:val="18"/>
    </w:rPr>
  </w:style>
  <w:style w:type="paragraph" w:styleId="6">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cs="Times New Roman"/>
      <w:kern w:val="0"/>
      <w:sz w:val="24"/>
    </w:rPr>
  </w:style>
  <w:style w:type="paragraph" w:styleId="8">
    <w:name w:val="Body Text First Indent"/>
    <w:basedOn w:val="3"/>
    <w:unhideWhenUsed/>
    <w:qFormat/>
    <w:uiPriority w:val="99"/>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FollowedHyperlink"/>
    <w:basedOn w:val="11"/>
    <w:qFormat/>
    <w:uiPriority w:val="0"/>
    <w:rPr>
      <w:color w:val="007BFF"/>
      <w:u w:val="none"/>
    </w:rPr>
  </w:style>
  <w:style w:type="character" w:styleId="14">
    <w:name w:val="HTML Definition"/>
    <w:basedOn w:val="11"/>
    <w:qFormat/>
    <w:uiPriority w:val="0"/>
    <w:rPr>
      <w:i/>
      <w:iCs/>
    </w:rPr>
  </w:style>
  <w:style w:type="character" w:styleId="15">
    <w:name w:val="Hyperlink"/>
    <w:basedOn w:val="11"/>
    <w:qFormat/>
    <w:uiPriority w:val="0"/>
    <w:rPr>
      <w:color w:val="007BFF"/>
      <w:u w:val="none"/>
    </w:rPr>
  </w:style>
  <w:style w:type="character" w:styleId="16">
    <w:name w:val="HTML Code"/>
    <w:basedOn w:val="11"/>
    <w:qFormat/>
    <w:uiPriority w:val="0"/>
    <w:rPr>
      <w:rFonts w:hint="default" w:ascii="Consolas" w:hAnsi="Consolas" w:eastAsia="Consolas" w:cs="Consolas"/>
      <w:color w:val="E83E8C"/>
      <w:sz w:val="21"/>
      <w:szCs w:val="21"/>
    </w:rPr>
  </w:style>
  <w:style w:type="character" w:styleId="17">
    <w:name w:val="HTML Keyboard"/>
    <w:basedOn w:val="11"/>
    <w:qFormat/>
    <w:uiPriority w:val="0"/>
    <w:rPr>
      <w:rFonts w:hint="default" w:ascii="Consolas" w:hAnsi="Consolas" w:eastAsia="Consolas" w:cs="Consolas"/>
      <w:color w:val="FFFFFF"/>
      <w:sz w:val="21"/>
      <w:szCs w:val="21"/>
      <w:shd w:val="clear" w:color="auto" w:fill="212529"/>
    </w:rPr>
  </w:style>
  <w:style w:type="character" w:styleId="18">
    <w:name w:val="HTML Sample"/>
    <w:basedOn w:val="11"/>
    <w:qFormat/>
    <w:uiPriority w:val="0"/>
    <w:rPr>
      <w:rFonts w:ascii="Consolas" w:hAnsi="Consolas" w:eastAsia="Consolas" w:cs="Consolas"/>
      <w:sz w:val="21"/>
      <w:szCs w:val="21"/>
    </w:rPr>
  </w:style>
  <w:style w:type="paragraph" w:customStyle="1" w:styleId="19">
    <w:name w:val="表格文字"/>
    <w:basedOn w:val="4"/>
    <w:next w:val="3"/>
    <w:qFormat/>
    <w:uiPriority w:val="99"/>
    <w:pPr>
      <w:spacing w:before="25" w:after="25"/>
      <w:jc w:val="left"/>
    </w:pPr>
    <w:rPr>
      <w:spacing w:val="10"/>
      <w:sz w:val="24"/>
    </w:rPr>
  </w:style>
  <w:style w:type="character" w:customStyle="1" w:styleId="20">
    <w:name w:val="hover11"/>
    <w:basedOn w:val="11"/>
    <w:qFormat/>
    <w:uiPriority w:val="0"/>
  </w:style>
  <w:style w:type="paragraph" w:customStyle="1" w:styleId="21">
    <w:name w:val="_Style 12"/>
    <w:basedOn w:val="1"/>
    <w:next w:val="1"/>
    <w:qFormat/>
    <w:uiPriority w:val="0"/>
    <w:pPr>
      <w:pBdr>
        <w:bottom w:val="single" w:color="auto" w:sz="6" w:space="1"/>
      </w:pBdr>
      <w:jc w:val="center"/>
    </w:pPr>
    <w:rPr>
      <w:rFonts w:ascii="Arial" w:eastAsia="宋体"/>
      <w:vanish/>
      <w:sz w:val="16"/>
    </w:rPr>
  </w:style>
  <w:style w:type="paragraph" w:customStyle="1" w:styleId="22">
    <w:name w:val="_Style 13"/>
    <w:basedOn w:val="1"/>
    <w:next w:val="1"/>
    <w:qFormat/>
    <w:uiPriority w:val="0"/>
    <w:pPr>
      <w:pBdr>
        <w:top w:val="single" w:color="auto" w:sz="6" w:space="1"/>
      </w:pBdr>
      <w:jc w:val="center"/>
    </w:pPr>
    <w:rPr>
      <w:rFonts w:ascii="Arial" w:eastAsia="宋体"/>
      <w:vanish/>
      <w:sz w:val="16"/>
    </w:rPr>
  </w:style>
  <w:style w:type="paragraph" w:customStyle="1" w:styleId="23">
    <w:name w:val="_Style 16"/>
    <w:basedOn w:val="1"/>
    <w:next w:val="1"/>
    <w:qFormat/>
    <w:uiPriority w:val="0"/>
    <w:pPr>
      <w:pBdr>
        <w:bottom w:val="single" w:color="auto" w:sz="6" w:space="1"/>
      </w:pBdr>
      <w:jc w:val="center"/>
    </w:pPr>
    <w:rPr>
      <w:rFonts w:ascii="Arial" w:eastAsia="宋体"/>
      <w:vanish/>
      <w:sz w:val="16"/>
    </w:rPr>
  </w:style>
  <w:style w:type="paragraph" w:customStyle="1" w:styleId="24">
    <w:name w:val="_Style 17"/>
    <w:basedOn w:val="1"/>
    <w:next w:val="1"/>
    <w:qFormat/>
    <w:uiPriority w:val="0"/>
    <w:pPr>
      <w:pBdr>
        <w:top w:val="single" w:color="auto" w:sz="6" w:space="1"/>
      </w:pBdr>
      <w:jc w:val="center"/>
    </w:pPr>
    <w:rPr>
      <w:rFonts w:ascii="Arial" w:eastAsia="宋体"/>
      <w:vanish/>
      <w:sz w:val="16"/>
    </w:rPr>
  </w:style>
  <w:style w:type="character" w:customStyle="1" w:styleId="25">
    <w:name w:val="页眉 字符"/>
    <w:basedOn w:val="11"/>
    <w:link w:val="6"/>
    <w:qFormat/>
    <w:uiPriority w:val="0"/>
    <w:rPr>
      <w:rFonts w:asciiTheme="minorHAnsi" w:hAnsiTheme="minorHAnsi" w:eastAsiaTheme="minorEastAsia" w:cstheme="minorBidi"/>
      <w:kern w:val="2"/>
      <w:sz w:val="18"/>
      <w:szCs w:val="18"/>
    </w:rPr>
  </w:style>
  <w:style w:type="character" w:customStyle="1" w:styleId="26">
    <w:name w:val="页脚 字符"/>
    <w:basedOn w:val="11"/>
    <w:link w:val="5"/>
    <w:qFormat/>
    <w:uiPriority w:val="0"/>
    <w:rPr>
      <w:rFonts w:asciiTheme="minorHAnsi" w:hAnsiTheme="minorHAnsi" w:eastAsiaTheme="minorEastAsia" w:cstheme="minorBidi"/>
      <w:kern w:val="2"/>
      <w:sz w:val="18"/>
      <w:szCs w:val="18"/>
    </w:rPr>
  </w:style>
  <w:style w:type="character" w:customStyle="1" w:styleId="27">
    <w:name w:val="bookmark-item uuid-1596277470067 code-23002 editdisable multi-line-text-input-box-cls readonly"/>
    <w:basedOn w:val="11"/>
    <w:qFormat/>
    <w:uiPriority w:val="0"/>
  </w:style>
  <w:style w:type="paragraph" w:customStyle="1" w:styleId="28">
    <w:name w:val="Default"/>
    <w:autoRedefine/>
    <w:qFormat/>
    <w:uiPriority w:val="0"/>
    <w:pPr>
      <w:widowControl w:val="0"/>
      <w:autoSpaceDE w:val="0"/>
      <w:autoSpaceDN w:val="0"/>
      <w:adjustRightInd w:val="0"/>
      <w:jc w:val="center"/>
    </w:pPr>
    <w:rPr>
      <w:rFonts w:ascii="仿宋_GB2312" w:hAnsi="仿宋" w:eastAsia="仿宋_GB2312" w:cs="黑体"/>
      <w:bCs/>
      <w:color w:val="000000"/>
      <w:sz w:val="36"/>
      <w:szCs w:val="36"/>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2945</Words>
  <Characters>3078</Characters>
  <Lines>9</Lines>
  <Paragraphs>2</Paragraphs>
  <TotalTime>10</TotalTime>
  <ScaleCrop>false</ScaleCrop>
  <LinksUpToDate>false</LinksUpToDate>
  <CharactersWithSpaces>3097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2025-08-20T02:05:00Z</dcterms:created>
  <dc:creator>曾敬勇</dc:creator>
  <cp:lastModifiedBy>小阮</cp:lastModifiedBy>
  <cp:lastPrinted>2024-09-02T06:42:00Z</cp:lastPrinted>
  <dcterms:modified xsi:type="dcterms:W3CDTF">2025-09-18T03:42:29Z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F43068F3E7BD4B829F520BC565FA1C37_13</vt:lpwstr>
  </property>
  <property fmtid="{D5CDD505-2E9C-101B-9397-08002B2CF9AE}" pid="4" name="KSOTemplateDocerSaveRecord">
    <vt:lpwstr>eyJoZGlkIjoiZjY2MWM4MTZlMTk1MTRkODc2OGI3MWI4NTkyYTRhMDQiLCJ1c2VySWQiOiI0NDc3NDEzMjQifQ==</vt:lpwstr>
  </property>
</Properties>
</file>