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eastAsia="黑体"/>
          <w:sz w:val="32"/>
        </w:rPr>
      </w:pPr>
    </w:p>
    <w:p>
      <w:pPr>
        <w:spacing w:line="680" w:lineRule="exact"/>
        <w:rPr>
          <w:rFonts w:eastAsia="黑体"/>
          <w:sz w:val="32"/>
        </w:rPr>
      </w:pPr>
    </w:p>
    <w:p>
      <w:pPr>
        <w:spacing w:line="680" w:lineRule="exact"/>
        <w:rPr>
          <w:rFonts w:eastAsia="仿宋_GB2312"/>
          <w:sz w:val="32"/>
        </w:rPr>
      </w:pPr>
    </w:p>
    <w:p>
      <w:pPr>
        <w:keepNext/>
        <w:keepLines/>
        <w:spacing w:line="800" w:lineRule="exact"/>
        <w:jc w:val="center"/>
        <w:outlineLvl w:val="1"/>
        <w:rPr>
          <w:rFonts w:ascii="Arial" w:hAnsi="Arial"/>
          <w:b/>
          <w:color w:val="auto"/>
          <w:spacing w:val="-40"/>
          <w:sz w:val="72"/>
        </w:rPr>
      </w:pPr>
      <w:bookmarkStart w:id="0" w:name="_GoBack"/>
      <w:r>
        <w:rPr>
          <w:rFonts w:hint="eastAsia" w:ascii="Arial" w:hAnsi="Arial"/>
          <w:b/>
          <w:color w:val="auto"/>
          <w:spacing w:val="-40"/>
          <w:sz w:val="72"/>
        </w:rPr>
        <w:t>中华人民共和国审计署文件</w:t>
      </w:r>
    </w:p>
    <w:p>
      <w:pPr>
        <w:spacing w:line="1100" w:lineRule="exact"/>
        <w:rPr>
          <w:rFonts w:eastAsia="仿宋_GB2312"/>
          <w:color w:val="auto"/>
          <w:spacing w:val="-22"/>
          <w:sz w:val="32"/>
        </w:rPr>
      </w:pPr>
    </w:p>
    <w:p>
      <w:pPr>
        <w:pBdr>
          <w:bottom w:val="single" w:color="FF0000" w:sz="18" w:space="9"/>
        </w:pBdr>
        <w:jc w:val="center"/>
        <w:rPr>
          <w:rFonts w:eastAsia="仿宋_GB2312"/>
          <w:color w:val="auto"/>
          <w:sz w:val="32"/>
        </w:rPr>
      </w:pPr>
      <w:r>
        <w:rPr>
          <w:rFonts w:hint="eastAsia" w:eastAsia="仿宋_GB2312"/>
          <w:color w:val="auto"/>
          <w:sz w:val="32"/>
        </w:rPr>
        <w:t>审法发〔2018〕2号</w:t>
      </w:r>
    </w:p>
    <w:p>
      <w:pPr>
        <w:pStyle w:val="10"/>
        <w:snapToGrid w:val="0"/>
        <w:spacing w:line="579" w:lineRule="atLeast"/>
        <w:rPr>
          <w:color w:val="auto"/>
        </w:rPr>
      </w:pPr>
    </w:p>
    <w:p>
      <w:pPr>
        <w:pStyle w:val="10"/>
        <w:snapToGrid w:val="0"/>
        <w:spacing w:line="579" w:lineRule="atLeast"/>
        <w:rPr>
          <w:color w:val="auto"/>
        </w:rPr>
      </w:pPr>
    </w:p>
    <w:p>
      <w:pPr>
        <w:adjustRightInd w:val="0"/>
        <w:snapToGrid w:val="0"/>
        <w:spacing w:line="760" w:lineRule="exact"/>
        <w:jc w:val="center"/>
        <w:rPr>
          <w:rFonts w:eastAsia="长城小标宋体"/>
          <w:color w:val="auto"/>
          <w:sz w:val="44"/>
          <w:szCs w:val="44"/>
        </w:rPr>
      </w:pPr>
      <w:r>
        <w:rPr>
          <w:rFonts w:eastAsia="长城小标宋体"/>
          <w:color w:val="auto"/>
          <w:sz w:val="44"/>
          <w:szCs w:val="44"/>
        </w:rPr>
        <w:t>审计署关于加强内部审计工作</w:t>
      </w:r>
    </w:p>
    <w:p>
      <w:pPr>
        <w:adjustRightInd w:val="0"/>
        <w:snapToGrid w:val="0"/>
        <w:spacing w:line="760" w:lineRule="exact"/>
        <w:jc w:val="center"/>
        <w:rPr>
          <w:rFonts w:eastAsia="长城小标宋体"/>
          <w:color w:val="auto"/>
          <w:sz w:val="44"/>
          <w:szCs w:val="44"/>
        </w:rPr>
      </w:pPr>
      <w:r>
        <w:rPr>
          <w:rFonts w:eastAsia="长城小标宋体"/>
          <w:color w:val="auto"/>
          <w:sz w:val="44"/>
          <w:szCs w:val="44"/>
        </w:rPr>
        <w:t>业务指导和监督的意见</w:t>
      </w:r>
    </w:p>
    <w:p>
      <w:pPr>
        <w:adjustRightInd w:val="0"/>
        <w:snapToGrid w:val="0"/>
        <w:spacing w:line="579" w:lineRule="exact"/>
        <w:rPr>
          <w:rFonts w:eastAsia="仿宋_GB2312"/>
          <w:color w:val="auto"/>
          <w:sz w:val="32"/>
          <w:szCs w:val="32"/>
        </w:rPr>
      </w:pPr>
    </w:p>
    <w:p>
      <w:pPr>
        <w:adjustRightInd w:val="0"/>
        <w:snapToGrid w:val="0"/>
        <w:spacing w:line="579" w:lineRule="exact"/>
        <w:rPr>
          <w:rFonts w:eastAsia="仿宋_GB2312"/>
          <w:color w:val="auto"/>
          <w:sz w:val="32"/>
          <w:szCs w:val="32"/>
        </w:rPr>
      </w:pPr>
      <w:r>
        <w:rPr>
          <w:rFonts w:eastAsia="仿宋_GB2312"/>
          <w:color w:val="auto"/>
          <w:sz w:val="32"/>
          <w:szCs w:val="32"/>
        </w:rPr>
        <w:t>各省、自治区、直辖市</w:t>
      </w:r>
      <w:r>
        <w:rPr>
          <w:rFonts w:hint="eastAsia" w:eastAsia="仿宋_GB2312"/>
          <w:color w:val="auto"/>
          <w:sz w:val="32"/>
          <w:szCs w:val="32"/>
        </w:rPr>
        <w:t>和</w:t>
      </w:r>
      <w:r>
        <w:rPr>
          <w:rFonts w:eastAsia="仿宋_GB2312"/>
          <w:color w:val="auto"/>
          <w:sz w:val="32"/>
          <w:szCs w:val="32"/>
        </w:rPr>
        <w:t>计划单列市、新疆生产建设兵团审计</w:t>
      </w:r>
      <w:r>
        <w:rPr>
          <w:rFonts w:hint="eastAsia" w:eastAsia="仿宋_GB2312"/>
          <w:color w:val="auto"/>
          <w:sz w:val="32"/>
          <w:szCs w:val="32"/>
        </w:rPr>
        <w:t>厅（</w:t>
      </w:r>
      <w:r>
        <w:rPr>
          <w:rFonts w:eastAsia="仿宋_GB2312"/>
          <w:color w:val="auto"/>
          <w:sz w:val="32"/>
          <w:szCs w:val="32"/>
        </w:rPr>
        <w:t>局</w:t>
      </w:r>
      <w:r>
        <w:rPr>
          <w:rFonts w:hint="eastAsia" w:eastAsia="仿宋_GB2312"/>
          <w:color w:val="auto"/>
          <w:sz w:val="32"/>
          <w:szCs w:val="32"/>
        </w:rPr>
        <w:t>）</w:t>
      </w:r>
      <w:r>
        <w:rPr>
          <w:rFonts w:eastAsia="仿宋_GB2312"/>
          <w:color w:val="auto"/>
          <w:sz w:val="32"/>
          <w:szCs w:val="32"/>
        </w:rPr>
        <w:t>，署机关各单位、各派出审计局、各特派员办事处、各直属单位：</w:t>
      </w:r>
    </w:p>
    <w:p>
      <w:pPr>
        <w:adjustRightInd w:val="0"/>
        <w:snapToGrid w:val="0"/>
        <w:spacing w:line="579" w:lineRule="exact"/>
        <w:ind w:firstLine="622" w:firstLineChars="200"/>
        <w:rPr>
          <w:rFonts w:eastAsia="仿宋_GB2312"/>
          <w:color w:val="auto"/>
          <w:sz w:val="32"/>
          <w:szCs w:val="32"/>
        </w:rPr>
      </w:pPr>
      <w:r>
        <w:rPr>
          <w:rFonts w:eastAsia="仿宋_GB2312"/>
          <w:color w:val="auto"/>
          <w:sz w:val="32"/>
          <w:szCs w:val="32"/>
        </w:rPr>
        <w:t>为深入贯彻落实党的十九大精神，促进提高内部审计质量和水平，有效防范风险，推进国家治理体系和治理能力现代化，根据审计法及其实施条例、《国务院关于加强审计工作的意见》和中共中央办公厅、国务院办公厅《关于完善审计制度若干重大问题的框架意见》《关于深化国有企业和国有资本审计监督的若干意见》以及《审计署关于内部审计工作的规定》等法律法规和文件要求，现就切实加强对依法属于审计机关审计监督对象的单位（以下</w:t>
      </w:r>
      <w:r>
        <w:rPr>
          <w:rFonts w:hint="eastAsia" w:eastAsia="仿宋_GB2312"/>
          <w:color w:val="auto"/>
          <w:spacing w:val="-6"/>
          <w:sz w:val="32"/>
          <w:szCs w:val="32"/>
        </w:rPr>
        <w:t>统</w:t>
      </w:r>
      <w:r>
        <w:rPr>
          <w:rFonts w:eastAsia="仿宋_GB2312"/>
          <w:color w:val="auto"/>
          <w:spacing w:val="-6"/>
          <w:sz w:val="32"/>
          <w:szCs w:val="32"/>
        </w:rPr>
        <w:t>称被审计单位）内部审计工作的业务指导和监督提出以下意见：</w:t>
      </w:r>
    </w:p>
    <w:p>
      <w:pPr>
        <w:adjustRightInd w:val="0"/>
        <w:snapToGrid w:val="0"/>
        <w:spacing w:line="579" w:lineRule="exact"/>
        <w:ind w:firstLine="622" w:firstLineChars="200"/>
        <w:rPr>
          <w:rFonts w:ascii="黑体" w:hAnsi="黑体" w:eastAsia="黑体" w:cs="黑体"/>
          <w:bCs/>
          <w:color w:val="auto"/>
          <w:sz w:val="32"/>
          <w:szCs w:val="32"/>
        </w:rPr>
      </w:pPr>
      <w:r>
        <w:rPr>
          <w:rFonts w:hint="eastAsia" w:ascii="黑体" w:hAnsi="黑体" w:eastAsia="黑体" w:cs="黑体"/>
          <w:bCs/>
          <w:color w:val="auto"/>
          <w:sz w:val="32"/>
          <w:szCs w:val="32"/>
        </w:rPr>
        <w:t>一、充分认识加强内部审计指导监督工作的重要性</w:t>
      </w:r>
    </w:p>
    <w:p>
      <w:pPr>
        <w:adjustRightInd w:val="0"/>
        <w:snapToGrid w:val="0"/>
        <w:spacing w:line="579" w:lineRule="exact"/>
        <w:ind w:firstLine="622" w:firstLineChars="200"/>
        <w:rPr>
          <w:rFonts w:eastAsia="仿宋_GB2312"/>
          <w:bCs/>
          <w:color w:val="auto"/>
          <w:sz w:val="32"/>
          <w:szCs w:val="32"/>
        </w:rPr>
      </w:pPr>
      <w:r>
        <w:rPr>
          <w:rFonts w:eastAsia="仿宋_GB2312"/>
          <w:bCs/>
          <w:color w:val="auto"/>
          <w:sz w:val="32"/>
          <w:szCs w:val="32"/>
        </w:rPr>
        <w:t>党的十八大以来，党中央、国务院高度重视审计工作，要求对公共资金、国有资产、国有资源和领导干部履行经济责任情况实行审计全覆盖，建立健全与审计全覆盖相适应的工作机制，统筹整合审计资源，加强内部审计工作，充分发挥内部审计作用。从总体上看，各级审计机关能够认真贯彻落实党中央、国务院决策部署，积极加强对内部审计工作的业务指导和监督，推动内部审计较好地发挥了在促进所在单位规范管理、完善内控机制、防范风险和提质增效等方面的作用，为实现审计全覆盖创造了有利条件。但仍有一些审计机关对内部审计工作重视不够、指导监督不到位，一些部门单位内部审计工作发展不平衡，有的还缺乏制度保障，内部审计发现问题的整改也不到位等，未能充分发挥内部审计的作用。</w:t>
      </w:r>
    </w:p>
    <w:p>
      <w:pPr>
        <w:adjustRightInd w:val="0"/>
        <w:snapToGrid w:val="0"/>
        <w:spacing w:line="579" w:lineRule="exact"/>
        <w:ind w:firstLine="622" w:firstLineChars="200"/>
        <w:rPr>
          <w:rFonts w:eastAsia="仿宋_GB2312"/>
          <w:color w:val="auto"/>
          <w:sz w:val="32"/>
          <w:szCs w:val="32"/>
        </w:rPr>
      </w:pPr>
      <w:r>
        <w:rPr>
          <w:rFonts w:eastAsia="仿宋_GB2312"/>
          <w:bCs/>
          <w:color w:val="auto"/>
          <w:sz w:val="32"/>
          <w:szCs w:val="32"/>
        </w:rPr>
        <w:t>各级审计机关要以习近平新时代中国特色社会主义思想为指导，充分认识加强内部审计工作对强化单位内部管理、统筹整合审计资源、增强审计监督整体效能、推进审计事业发展的重要意义，按照党中央、国务院要求和相关法律法规的规定，进一步加强对内部审计工作的业务指导和监督，建立健全内部审计指导监督制度，坚持问题导向，突出工作重点，创新方式方法，强化内部审计在规范管理、防范风险等方面的积极作用，推动相关部门、单位认真贯彻落实党的十九大确定的战略部署，自觉遵守国家法律</w:t>
      </w:r>
      <w:r>
        <w:rPr>
          <w:rFonts w:eastAsia="仿宋_GB2312"/>
          <w:bCs/>
          <w:color w:val="auto"/>
          <w:spacing w:val="-6"/>
          <w:sz w:val="32"/>
          <w:szCs w:val="32"/>
        </w:rPr>
        <w:t>法规和制度规定，扎实推进决胜全面建成小康社会各项工作任务</w:t>
      </w:r>
      <w:r>
        <w:rPr>
          <w:rFonts w:eastAsia="仿宋_GB2312"/>
          <w:color w:val="auto"/>
          <w:spacing w:val="-6"/>
          <w:sz w:val="32"/>
          <w:szCs w:val="32"/>
        </w:rPr>
        <w:t>。</w:t>
      </w:r>
    </w:p>
    <w:p>
      <w:pPr>
        <w:adjustRightInd w:val="0"/>
        <w:snapToGrid w:val="0"/>
        <w:spacing w:line="579" w:lineRule="exact"/>
        <w:rPr>
          <w:rFonts w:eastAsia="仿宋_GB2312"/>
          <w:bCs/>
          <w:color w:val="auto"/>
          <w:sz w:val="32"/>
          <w:szCs w:val="32"/>
        </w:rPr>
      </w:pPr>
      <w:r>
        <w:rPr>
          <w:rFonts w:eastAsia="仿宋_GB2312"/>
          <w:color w:val="auto"/>
          <w:sz w:val="32"/>
          <w:szCs w:val="32"/>
        </w:rPr>
        <w:t xml:space="preserve">    </w:t>
      </w:r>
      <w:r>
        <w:rPr>
          <w:rFonts w:hint="eastAsia" w:ascii="黑体" w:hAnsi="黑体" w:eastAsia="黑体" w:cs="黑体"/>
          <w:bCs/>
          <w:color w:val="auto"/>
          <w:sz w:val="32"/>
          <w:szCs w:val="32"/>
        </w:rPr>
        <w:t>二、建立健全内部审计指导监督的工作机制</w:t>
      </w:r>
    </w:p>
    <w:p>
      <w:pPr>
        <w:adjustRightInd w:val="0"/>
        <w:snapToGrid w:val="0"/>
        <w:spacing w:line="579" w:lineRule="exact"/>
        <w:ind w:firstLine="622" w:firstLineChars="200"/>
        <w:rPr>
          <w:rFonts w:eastAsia="仿宋_GB2312"/>
          <w:bCs/>
          <w:color w:val="auto"/>
          <w:sz w:val="32"/>
          <w:szCs w:val="32"/>
        </w:rPr>
      </w:pPr>
      <w:r>
        <w:rPr>
          <w:rFonts w:eastAsia="楷体_GB2312"/>
          <w:bCs/>
          <w:color w:val="auto"/>
          <w:sz w:val="32"/>
          <w:szCs w:val="32"/>
        </w:rPr>
        <w:t>（一）建立健全指导和监督工作长效机制。</w:t>
      </w:r>
      <w:r>
        <w:rPr>
          <w:rFonts w:eastAsia="仿宋_GB2312"/>
          <w:bCs/>
          <w:color w:val="auto"/>
          <w:sz w:val="32"/>
          <w:szCs w:val="32"/>
        </w:rPr>
        <w:t>审计机关要健全工作责任机制，明确负责指导和监督工作的职能部门和业务部门职责，加强协作配合，将对内部审计的业务指导和监督纳入年度工作内容，与审计业务工作同部署、同落实、同检查。要加强制度建设，制定完善对内部审计业务指导和监督的制度措施。要加强监督检查，坚持问题导向，加大对内部审计工作情况的检查力度，完善检查反馈、情况通报、整改回访等工作机制。上级审计机关要将对内部审计的指导和监督工作纳入对下级审计机关的考核内容。</w:t>
      </w:r>
    </w:p>
    <w:p>
      <w:pPr>
        <w:adjustRightInd w:val="0"/>
        <w:snapToGrid w:val="0"/>
        <w:spacing w:line="579" w:lineRule="exact"/>
        <w:rPr>
          <w:rFonts w:eastAsia="仿宋_GB2312"/>
          <w:bCs/>
          <w:color w:val="auto"/>
          <w:sz w:val="32"/>
          <w:szCs w:val="32"/>
        </w:rPr>
      </w:pPr>
      <w:r>
        <w:rPr>
          <w:rFonts w:hint="eastAsia" w:eastAsia="仿宋_GB2312"/>
          <w:bCs/>
          <w:color w:val="auto"/>
          <w:sz w:val="32"/>
          <w:szCs w:val="32"/>
        </w:rPr>
        <w:t xml:space="preserve">    </w:t>
      </w:r>
      <w:r>
        <w:rPr>
          <w:rFonts w:eastAsia="楷体_GB2312"/>
          <w:bCs/>
          <w:color w:val="auto"/>
          <w:sz w:val="32"/>
          <w:szCs w:val="32"/>
        </w:rPr>
        <w:t>（二）建立健全内部审计资料备案及成果运用机制。</w:t>
      </w:r>
      <w:r>
        <w:rPr>
          <w:rFonts w:eastAsia="仿宋_GB2312"/>
          <w:bCs/>
          <w:color w:val="auto"/>
          <w:sz w:val="32"/>
          <w:szCs w:val="32"/>
        </w:rPr>
        <w:t>审计机关要建立健全被审计单位内部审计工作计划、审计报告、审计整改情况、工作总结以及审计发现的重大违纪违法问题线索等资料向同级审计机关备案机制。审计机关要加大对备案材料的研究和分析力度，将其作为编制年度审计项目计划的参考依据。审计机关要重视内部审计成果运用，审计中涉及</w:t>
      </w:r>
      <w:r>
        <w:rPr>
          <w:rFonts w:eastAsia="仿宋_GB2312"/>
          <w:color w:val="auto"/>
          <w:sz w:val="32"/>
          <w:szCs w:val="32"/>
        </w:rPr>
        <w:t>国家机关、事业单位和国有企业三级以下单位时，</w:t>
      </w:r>
      <w:r>
        <w:rPr>
          <w:rFonts w:eastAsia="仿宋_GB2312"/>
          <w:bCs/>
          <w:color w:val="auto"/>
          <w:sz w:val="32"/>
          <w:szCs w:val="32"/>
        </w:rPr>
        <w:t>可以在评估被审计单位内部审计工作质量的基础上，</w:t>
      </w:r>
      <w:r>
        <w:rPr>
          <w:rFonts w:eastAsia="仿宋_GB2312"/>
          <w:color w:val="auto"/>
          <w:sz w:val="32"/>
          <w:szCs w:val="32"/>
        </w:rPr>
        <w:t>积极有效利用内部审计成果。对内部审计已经发现并纠正的问题不再在审计报告中反映，对纠正不及时不到位的问题应当依法提出处理意见并督促整改。</w:t>
      </w:r>
    </w:p>
    <w:p>
      <w:pPr>
        <w:adjustRightInd w:val="0"/>
        <w:snapToGrid w:val="0"/>
        <w:spacing w:line="579" w:lineRule="exact"/>
        <w:rPr>
          <w:rFonts w:eastAsia="仿宋_GB2312"/>
          <w:bCs/>
          <w:color w:val="auto"/>
          <w:sz w:val="32"/>
          <w:szCs w:val="32"/>
        </w:rPr>
      </w:pPr>
      <w:r>
        <w:rPr>
          <w:rFonts w:eastAsia="仿宋_GB2312"/>
          <w:bCs/>
          <w:color w:val="auto"/>
          <w:sz w:val="32"/>
          <w:szCs w:val="32"/>
        </w:rPr>
        <w:t xml:space="preserve">    </w:t>
      </w:r>
      <w:r>
        <w:rPr>
          <w:rFonts w:eastAsia="楷体_GB2312"/>
          <w:bCs/>
          <w:color w:val="auto"/>
          <w:sz w:val="32"/>
          <w:szCs w:val="32"/>
        </w:rPr>
        <w:t>（三）建立健全与主管部门的协作机制。</w:t>
      </w:r>
      <w:r>
        <w:rPr>
          <w:rFonts w:eastAsia="仿宋_GB2312"/>
          <w:bCs/>
          <w:color w:val="auto"/>
          <w:sz w:val="32"/>
          <w:szCs w:val="32"/>
        </w:rPr>
        <w:t>审计机关要注重发挥主管部门的作用，加强工作联系，根据行业属性、业务特点、资金规模等因素，会同制定行业性内部审计指导意见、内部审计工作指引等，协调开展对被审计单位内部审计工作的分类指导，及时通报监督检查结果，形成监督合力。</w:t>
      </w:r>
    </w:p>
    <w:p>
      <w:pPr>
        <w:adjustRightInd w:val="0"/>
        <w:snapToGrid w:val="0"/>
        <w:spacing w:line="579" w:lineRule="exact"/>
        <w:ind w:firstLine="622" w:firstLineChars="200"/>
        <w:rPr>
          <w:rFonts w:ascii="黑体" w:hAnsi="黑体" w:eastAsia="黑体" w:cs="黑体"/>
          <w:color w:val="auto"/>
          <w:sz w:val="32"/>
          <w:szCs w:val="32"/>
        </w:rPr>
      </w:pPr>
      <w:r>
        <w:rPr>
          <w:rFonts w:hint="eastAsia" w:ascii="黑体" w:hAnsi="黑体" w:eastAsia="黑体" w:cs="黑体"/>
          <w:color w:val="auto"/>
          <w:sz w:val="32"/>
          <w:szCs w:val="32"/>
        </w:rPr>
        <w:t>三、加强对内部审计工作的业务指导</w:t>
      </w:r>
    </w:p>
    <w:p>
      <w:pPr>
        <w:adjustRightInd w:val="0"/>
        <w:snapToGrid w:val="0"/>
        <w:spacing w:line="579" w:lineRule="exact"/>
        <w:ind w:firstLine="622" w:firstLineChars="200"/>
        <w:rPr>
          <w:rFonts w:eastAsia="仿宋_GB2312"/>
          <w:color w:val="auto"/>
          <w:sz w:val="32"/>
          <w:szCs w:val="32"/>
        </w:rPr>
      </w:pPr>
      <w:r>
        <w:rPr>
          <w:rFonts w:eastAsia="楷体_GB2312"/>
          <w:bCs/>
          <w:color w:val="auto"/>
          <w:sz w:val="32"/>
          <w:szCs w:val="32"/>
        </w:rPr>
        <w:t>（一）加强对建立健全内部审计工作机制的指导。</w:t>
      </w:r>
      <w:r>
        <w:rPr>
          <w:rFonts w:eastAsia="仿宋_GB2312"/>
          <w:color w:val="auto"/>
          <w:sz w:val="32"/>
          <w:szCs w:val="32"/>
        </w:rPr>
        <w:t>推动被审计单位进一步理顺内部审计管理体制，建立被审计单位党组织、董事会（</w:t>
      </w:r>
      <w:r>
        <w:rPr>
          <w:rFonts w:hint="eastAsia" w:eastAsia="仿宋_GB2312"/>
          <w:color w:val="auto"/>
          <w:sz w:val="32"/>
          <w:szCs w:val="32"/>
        </w:rPr>
        <w:t>或者</w:t>
      </w:r>
      <w:r>
        <w:rPr>
          <w:rFonts w:eastAsia="仿宋_GB2312"/>
          <w:color w:val="auto"/>
          <w:sz w:val="32"/>
          <w:szCs w:val="32"/>
        </w:rPr>
        <w:t>主要负责人）对内部审计工作的领导机制</w:t>
      </w:r>
      <w:r>
        <w:rPr>
          <w:rFonts w:eastAsia="仿宋_GB2312"/>
          <w:bCs/>
          <w:color w:val="auto"/>
          <w:sz w:val="32"/>
          <w:szCs w:val="32"/>
        </w:rPr>
        <w:t>，</w:t>
      </w:r>
      <w:r>
        <w:rPr>
          <w:rFonts w:eastAsia="仿宋_GB2312"/>
          <w:color w:val="auto"/>
          <w:sz w:val="32"/>
          <w:szCs w:val="32"/>
        </w:rPr>
        <w:t>加快建立国有企业总审计师制度，</w:t>
      </w:r>
      <w:r>
        <w:rPr>
          <w:rFonts w:eastAsia="仿宋_GB2312"/>
          <w:bCs/>
          <w:color w:val="auto"/>
          <w:sz w:val="32"/>
          <w:szCs w:val="32"/>
        </w:rPr>
        <w:t>完善审计质量控制、内部审计结果运用和责任追究等制度。推动被审计单位</w:t>
      </w:r>
      <w:r>
        <w:rPr>
          <w:rFonts w:eastAsia="仿宋_GB2312"/>
          <w:color w:val="auto"/>
          <w:sz w:val="32"/>
          <w:szCs w:val="32"/>
        </w:rPr>
        <w:t>建立内部审计与纪检监察、巡视巡察、组织人事等其他内部监督力量的协作配合机制，在监督信息共享、监督成果共用、重要事项共同实施、问题整改问责共同落实等方面形成监督合力。推动被审计单位建立内部审计发现问题整改长效机制，健全整改报告机制，落实整改主体责任。</w:t>
      </w:r>
    </w:p>
    <w:p>
      <w:pPr>
        <w:adjustRightInd w:val="0"/>
        <w:snapToGrid w:val="0"/>
        <w:spacing w:line="579" w:lineRule="exact"/>
        <w:ind w:firstLine="622" w:firstLineChars="200"/>
        <w:rPr>
          <w:rFonts w:eastAsia="仿宋_GB2312"/>
          <w:color w:val="auto"/>
          <w:sz w:val="32"/>
          <w:szCs w:val="32"/>
        </w:rPr>
      </w:pPr>
      <w:r>
        <w:rPr>
          <w:rFonts w:eastAsia="楷体_GB2312"/>
          <w:bCs/>
          <w:color w:val="auto"/>
          <w:sz w:val="32"/>
          <w:szCs w:val="32"/>
        </w:rPr>
        <w:t>（二）加强对内部审计计划安排和审计重点的指导。</w:t>
      </w:r>
      <w:r>
        <w:rPr>
          <w:rFonts w:eastAsia="仿宋_GB2312"/>
          <w:bCs/>
          <w:color w:val="auto"/>
          <w:sz w:val="32"/>
          <w:szCs w:val="32"/>
        </w:rPr>
        <w:t>指导</w:t>
      </w:r>
      <w:r>
        <w:rPr>
          <w:rFonts w:eastAsia="仿宋_GB2312"/>
          <w:color w:val="auto"/>
          <w:sz w:val="32"/>
          <w:szCs w:val="32"/>
        </w:rPr>
        <w:t>被审计单位紧紧</w:t>
      </w:r>
      <w:r>
        <w:rPr>
          <w:rFonts w:eastAsia="仿宋_GB2312"/>
          <w:bCs/>
          <w:color w:val="auto"/>
          <w:sz w:val="32"/>
          <w:szCs w:val="32"/>
        </w:rPr>
        <w:t>围绕统筹推进“五位一体”总体布局和协调推进“四个全面”战略布局，围绕推进供给侧结构性改革、打好“三大攻坚战”等重大任务落实，科学安排内部审计计划，在审计财政财务收支真实合法效益的基础上，加大对</w:t>
      </w:r>
      <w:r>
        <w:rPr>
          <w:rFonts w:eastAsia="仿宋_GB2312"/>
          <w:color w:val="auto"/>
          <w:sz w:val="32"/>
          <w:szCs w:val="32"/>
        </w:rPr>
        <w:t>内部管理</w:t>
      </w:r>
      <w:r>
        <w:rPr>
          <w:rFonts w:eastAsia="仿宋_GB2312"/>
          <w:bCs/>
          <w:color w:val="auto"/>
          <w:sz w:val="32"/>
          <w:szCs w:val="32"/>
        </w:rPr>
        <w:t>领导干部履行经济责任情况的审计力度</w:t>
      </w:r>
      <w:r>
        <w:rPr>
          <w:rFonts w:eastAsia="仿宋_GB2312"/>
          <w:color w:val="auto"/>
          <w:sz w:val="32"/>
          <w:szCs w:val="32"/>
        </w:rPr>
        <w:t>。要引导被审计单位内部审计</w:t>
      </w:r>
      <w:r>
        <w:rPr>
          <w:rFonts w:eastAsia="仿宋_GB2312"/>
          <w:bCs/>
          <w:color w:val="auto"/>
          <w:sz w:val="32"/>
          <w:szCs w:val="32"/>
        </w:rPr>
        <w:t>坚持问题导向，</w:t>
      </w:r>
      <w:r>
        <w:rPr>
          <w:rFonts w:eastAsia="仿宋_GB2312"/>
          <w:color w:val="auto"/>
          <w:sz w:val="32"/>
          <w:szCs w:val="32"/>
        </w:rPr>
        <w:t>突出审计重点，</w:t>
      </w:r>
      <w:r>
        <w:rPr>
          <w:rFonts w:eastAsia="仿宋_GB2312"/>
          <w:bCs/>
          <w:color w:val="auto"/>
          <w:sz w:val="32"/>
          <w:szCs w:val="32"/>
        </w:rPr>
        <w:t>关注</w:t>
      </w:r>
      <w:r>
        <w:rPr>
          <w:rFonts w:eastAsia="仿宋_GB2312"/>
          <w:color w:val="auto"/>
          <w:sz w:val="32"/>
          <w:szCs w:val="32"/>
        </w:rPr>
        <w:t>重大改革任务推进、</w:t>
      </w:r>
      <w:r>
        <w:rPr>
          <w:rFonts w:eastAsia="仿宋_GB2312"/>
          <w:bCs/>
          <w:color w:val="auto"/>
          <w:sz w:val="32"/>
          <w:szCs w:val="32"/>
        </w:rPr>
        <w:t>重大政策落实、资金分配和使用、工程建设招投标和物资采购、土地流转和开发利</w:t>
      </w:r>
      <w:r>
        <w:rPr>
          <w:rFonts w:eastAsia="仿宋_GB2312"/>
          <w:color w:val="auto"/>
          <w:sz w:val="32"/>
          <w:szCs w:val="32"/>
        </w:rPr>
        <w:t>用、金融资源配置和金融创新、国有资本运营和国有资产处置、生态环境保护、民生保障和改善、国家经济安全等重点领域，紧盯权力集中、资金密集、资源富集、资产聚集的部门和岗位，及时发现权力运行中存在的</w:t>
      </w:r>
      <w:r>
        <w:rPr>
          <w:rFonts w:eastAsia="仿宋_GB2312"/>
          <w:bCs/>
          <w:color w:val="auto"/>
          <w:sz w:val="32"/>
          <w:szCs w:val="32"/>
        </w:rPr>
        <w:t>损害国家和人民利益、重大违纪违法、重大履职不到位、重大损失浪费、重大环境污染和资源毁损、重大风险隐患等问题。</w:t>
      </w:r>
    </w:p>
    <w:p>
      <w:pPr>
        <w:adjustRightInd w:val="0"/>
        <w:snapToGrid w:val="0"/>
        <w:spacing w:line="579" w:lineRule="exact"/>
        <w:ind w:firstLine="622" w:firstLineChars="200"/>
        <w:rPr>
          <w:rFonts w:eastAsia="仿宋_GB2312"/>
          <w:color w:val="auto"/>
          <w:sz w:val="32"/>
          <w:szCs w:val="32"/>
        </w:rPr>
      </w:pPr>
      <w:r>
        <w:rPr>
          <w:rFonts w:eastAsia="楷体_GB2312"/>
          <w:bCs/>
          <w:color w:val="auto"/>
          <w:sz w:val="32"/>
          <w:szCs w:val="32"/>
        </w:rPr>
        <w:t>（三）加强对内部审计人员的业务指导。</w:t>
      </w:r>
      <w:r>
        <w:rPr>
          <w:rFonts w:eastAsia="仿宋_GB2312"/>
          <w:bCs/>
          <w:color w:val="auto"/>
          <w:sz w:val="32"/>
          <w:szCs w:val="32"/>
        </w:rPr>
        <w:t>采取现场指导、</w:t>
      </w:r>
      <w:r>
        <w:rPr>
          <w:rFonts w:eastAsia="仿宋_GB2312"/>
          <w:color w:val="auto"/>
          <w:sz w:val="32"/>
          <w:szCs w:val="32"/>
        </w:rPr>
        <w:t>业务交流等方式，分层分类加强对内部审计人员的业务指导和培训。搭建交流推广平台，围绕当前审计工作的重点、难点，注重发现被审计单位内部审计工作的特点、亮点，做好内部审计经验推广工作。积极推广大数据审计工作模式等先进审计技术方法，推动提高内部审计人员运用信息化技术查核问题、评价判断和分析问题的能力，促进提高内部审计工作效率和质量。按照规定加强对内部审计协会的政策和业务指导，推动做好内部审计人员业务咨询、学术研讨、经验交流、评优表彰等工作。</w:t>
      </w:r>
    </w:p>
    <w:p>
      <w:pPr>
        <w:adjustRightInd w:val="0"/>
        <w:snapToGrid w:val="0"/>
        <w:spacing w:line="579" w:lineRule="exact"/>
        <w:ind w:firstLine="622" w:firstLineChars="200"/>
        <w:rPr>
          <w:rFonts w:ascii="黑体" w:hAnsi="黑体" w:eastAsia="黑体" w:cs="黑体"/>
          <w:bCs/>
          <w:color w:val="auto"/>
          <w:sz w:val="32"/>
          <w:szCs w:val="32"/>
        </w:rPr>
      </w:pPr>
      <w:r>
        <w:rPr>
          <w:rFonts w:hint="eastAsia" w:ascii="黑体" w:hAnsi="黑体" w:eastAsia="黑体" w:cs="黑体"/>
          <w:color w:val="auto"/>
          <w:sz w:val="32"/>
          <w:szCs w:val="32"/>
        </w:rPr>
        <w:t>四、加强对内部审计工作的监督检查</w:t>
      </w:r>
    </w:p>
    <w:p>
      <w:pPr>
        <w:adjustRightInd w:val="0"/>
        <w:snapToGrid w:val="0"/>
        <w:spacing w:line="579" w:lineRule="exact"/>
        <w:ind w:firstLine="622" w:firstLineChars="200"/>
        <w:rPr>
          <w:rFonts w:eastAsia="仿宋_GB2312"/>
          <w:bCs/>
          <w:color w:val="auto"/>
          <w:sz w:val="32"/>
          <w:szCs w:val="32"/>
        </w:rPr>
      </w:pPr>
      <w:r>
        <w:rPr>
          <w:rFonts w:eastAsia="楷体_GB2312"/>
          <w:bCs/>
          <w:color w:val="auto"/>
          <w:sz w:val="32"/>
          <w:szCs w:val="32"/>
        </w:rPr>
        <w:t>（一）加强日常监督。</w:t>
      </w:r>
      <w:r>
        <w:rPr>
          <w:rFonts w:eastAsia="仿宋_GB2312"/>
          <w:bCs/>
          <w:color w:val="auto"/>
          <w:sz w:val="32"/>
          <w:szCs w:val="32"/>
        </w:rPr>
        <w:t>审计机关要加强对被审计单位内部审计工作的指导监督，及时掌握内部审计机构依法履行职责情况，通过经验交流、座谈研讨、现场调研等方式，总结推广开展内部审计工作的经验和做法。督促被审计单位认真整改内部审计发现的问题，积极为内部审计工作的顺利开展创造良好的工作环境。</w:t>
      </w:r>
    </w:p>
    <w:p>
      <w:pPr>
        <w:adjustRightInd w:val="0"/>
        <w:snapToGrid w:val="0"/>
        <w:spacing w:line="579" w:lineRule="exact"/>
        <w:rPr>
          <w:rFonts w:eastAsia="仿宋_GB2312"/>
          <w:bCs/>
          <w:color w:val="auto"/>
          <w:sz w:val="32"/>
          <w:szCs w:val="32"/>
        </w:rPr>
      </w:pPr>
      <w:r>
        <w:rPr>
          <w:rFonts w:eastAsia="仿宋_GB2312"/>
          <w:bCs/>
          <w:color w:val="auto"/>
          <w:sz w:val="32"/>
          <w:szCs w:val="32"/>
        </w:rPr>
        <w:t xml:space="preserve">    </w:t>
      </w:r>
      <w:r>
        <w:rPr>
          <w:rFonts w:eastAsia="楷体_GB2312"/>
          <w:bCs/>
          <w:color w:val="auto"/>
          <w:sz w:val="32"/>
          <w:szCs w:val="32"/>
        </w:rPr>
        <w:t>（二）结合实施审计项目开展监督。</w:t>
      </w:r>
      <w:r>
        <w:rPr>
          <w:rFonts w:eastAsia="仿宋_GB2312"/>
          <w:bCs/>
          <w:color w:val="auto"/>
          <w:sz w:val="32"/>
          <w:szCs w:val="32"/>
        </w:rPr>
        <w:t>审计机关实施审计项目时，要将被审计单位内部审计制度建立健全情况、内部审计工作开展情况以及质量效果等内容，纳入审计监督评价的范围。特别是在开展经济责任审计时，要将内部监督制约机制的建立健全和执行情况作为领导干部履职的内容进行评价，促进被审计单位按照规定建立健全内部审计制度，加强内部审计工作，规范管理，防范风险，提质增效，充分发挥内部审计作用。</w:t>
      </w:r>
    </w:p>
    <w:p>
      <w:pPr>
        <w:adjustRightInd w:val="0"/>
        <w:snapToGrid w:val="0"/>
        <w:spacing w:line="579" w:lineRule="exact"/>
        <w:rPr>
          <w:rFonts w:eastAsia="仿宋_GB2312"/>
          <w:color w:val="auto"/>
          <w:sz w:val="32"/>
          <w:szCs w:val="32"/>
        </w:rPr>
      </w:pPr>
      <w:r>
        <w:rPr>
          <w:rFonts w:eastAsia="仿宋_GB2312"/>
          <w:bCs/>
          <w:color w:val="auto"/>
          <w:sz w:val="32"/>
          <w:szCs w:val="32"/>
        </w:rPr>
        <w:t xml:space="preserve">    </w:t>
      </w:r>
      <w:r>
        <w:rPr>
          <w:rFonts w:eastAsia="楷体_GB2312"/>
          <w:bCs/>
          <w:color w:val="auto"/>
          <w:sz w:val="32"/>
          <w:szCs w:val="32"/>
        </w:rPr>
        <w:t>（三）开展专项检查。</w:t>
      </w:r>
      <w:r>
        <w:rPr>
          <w:rFonts w:eastAsia="仿宋_GB2312"/>
          <w:bCs/>
          <w:color w:val="auto"/>
          <w:sz w:val="32"/>
          <w:szCs w:val="32"/>
        </w:rPr>
        <w:t>审计机关可以采取组织自查与重点抽查相结合等方式，围绕内部审计制度建设与执行，聚焦内部审计项目的计划、实施、报告、整改等环节，组织开展对被审计单位内部审计工作情况的专项检查，并将检查情况在一定范围内进行通报，督促被审计单位及时整改，积极推动被审计单位规范内部审计行为，强化内部审计质量控制，防范内部审计风险，切实提高内部审计工作质量和水平。</w:t>
      </w:r>
    </w:p>
    <w:p>
      <w:pPr>
        <w:tabs>
          <w:tab w:val="left" w:pos="360"/>
        </w:tabs>
        <w:adjustRightInd w:val="0"/>
        <w:snapToGrid w:val="0"/>
        <w:spacing w:line="680" w:lineRule="exact"/>
        <w:rPr>
          <w:rFonts w:eastAsia="仿宋_GB2312"/>
          <w:color w:val="auto"/>
          <w:sz w:val="32"/>
          <w:szCs w:val="32"/>
        </w:rPr>
      </w:pPr>
    </w:p>
    <w:p>
      <w:pPr>
        <w:tabs>
          <w:tab w:val="left" w:pos="360"/>
        </w:tabs>
        <w:adjustRightInd w:val="0"/>
        <w:snapToGrid w:val="0"/>
        <w:spacing w:line="680" w:lineRule="exact"/>
        <w:rPr>
          <w:rFonts w:eastAsia="仿宋_GB2312"/>
          <w:color w:val="auto"/>
          <w:sz w:val="32"/>
          <w:szCs w:val="32"/>
        </w:rPr>
      </w:pPr>
    </w:p>
    <w:p>
      <w:pPr>
        <w:adjustRightInd w:val="0"/>
        <w:snapToGrid w:val="0"/>
        <w:spacing w:line="680" w:lineRule="exact"/>
        <w:rPr>
          <w:rFonts w:eastAsia="仿宋_GB2312"/>
          <w:color w:val="auto"/>
          <w:sz w:val="32"/>
          <w:szCs w:val="32"/>
        </w:rPr>
      </w:pPr>
    </w:p>
    <w:p>
      <w:pPr>
        <w:tabs>
          <w:tab w:val="left" w:pos="7600"/>
        </w:tabs>
        <w:adjustRightInd w:val="0"/>
        <w:snapToGrid w:val="0"/>
        <w:spacing w:line="579" w:lineRule="exact"/>
        <w:rPr>
          <w:rFonts w:eastAsia="仿宋_GB2312"/>
          <w:color w:val="auto"/>
          <w:sz w:val="32"/>
          <w:szCs w:val="32"/>
        </w:rPr>
      </w:pPr>
      <w:r>
        <w:rPr>
          <w:rFonts w:hint="eastAsia" w:eastAsia="仿宋_GB2312"/>
          <w:color w:val="auto"/>
          <w:sz w:val="32"/>
          <w:szCs w:val="32"/>
        </w:rPr>
        <w:t xml:space="preserve">                               </w:t>
      </w:r>
      <w:r>
        <w:rPr>
          <w:rFonts w:hint="eastAsia" w:eastAsia="仿宋_GB2312"/>
          <w:color w:val="auto"/>
          <w:sz w:val="30"/>
          <w:szCs w:val="30"/>
        </w:rPr>
        <w:t xml:space="preserve">    </w:t>
      </w:r>
      <w:r>
        <w:rPr>
          <w:rFonts w:hint="eastAsia" w:eastAsia="仿宋_GB2312"/>
          <w:color w:val="auto"/>
          <w:sz w:val="18"/>
          <w:szCs w:val="18"/>
        </w:rPr>
        <w:t xml:space="preserve"> </w:t>
      </w:r>
      <w:r>
        <w:rPr>
          <w:rFonts w:hint="eastAsia" w:eastAsia="仿宋_GB2312"/>
          <w:color w:val="auto"/>
          <w:sz w:val="30"/>
          <w:szCs w:val="30"/>
        </w:rPr>
        <w:t xml:space="preserve">  </w:t>
      </w:r>
      <w:r>
        <w:rPr>
          <w:rFonts w:hint="eastAsia" w:eastAsia="仿宋_GB2312"/>
          <w:color w:val="auto"/>
          <w:sz w:val="32"/>
          <w:szCs w:val="32"/>
        </w:rPr>
        <w:t xml:space="preserve">审计署            </w:t>
      </w:r>
    </w:p>
    <w:p>
      <w:pPr>
        <w:tabs>
          <w:tab w:val="left" w:pos="7600"/>
        </w:tabs>
        <w:adjustRightInd w:val="0"/>
        <w:snapToGrid w:val="0"/>
        <w:spacing w:line="579" w:lineRule="exact"/>
        <w:rPr>
          <w:rFonts w:eastAsia="仿宋_GB2312"/>
          <w:sz w:val="32"/>
          <w:szCs w:val="32"/>
        </w:rPr>
      </w:pPr>
      <w:r>
        <w:rPr>
          <w:rFonts w:hint="eastAsia" w:eastAsia="仿宋_GB2312"/>
          <w:color w:val="auto"/>
          <w:sz w:val="32"/>
          <w:szCs w:val="32"/>
        </w:rPr>
        <w:t xml:space="preserve">                                 2018年1月12日     </w:t>
      </w:r>
      <w:bookmarkEnd w:id="0"/>
      <w:r>
        <w:rPr>
          <w:rFonts w:hint="eastAsia" w:eastAsia="仿宋_GB2312"/>
          <w:sz w:val="32"/>
          <w:szCs w:val="32"/>
        </w:rPr>
        <w:t xml:space="preserve">   </w:t>
      </w:r>
    </w:p>
    <w:p>
      <w:pPr>
        <w:adjustRightInd w:val="0"/>
        <w:snapToGrid w:val="0"/>
        <w:spacing w:line="579" w:lineRule="exact"/>
        <w:rPr>
          <w:rFonts w:eastAsia="仿宋_GB2312"/>
          <w:sz w:val="32"/>
          <w:szCs w:val="32"/>
        </w:rPr>
      </w:pPr>
      <w:r>
        <w:rPr>
          <w:rFonts w:hint="eastAsia" w:eastAsia="仿宋_GB2312"/>
          <w:sz w:val="32"/>
          <w:szCs w:val="32"/>
        </w:rPr>
        <w:t xml:space="preserve">    （此件我署依申请公开）</w:t>
      </w:r>
    </w:p>
    <w:p>
      <w:pPr>
        <w:spacing w:line="68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500" w:lineRule="exact"/>
        <w:rPr>
          <w:rFonts w:eastAsia="仿宋_GB2312"/>
          <w:sz w:val="32"/>
          <w:szCs w:val="32"/>
        </w:rPr>
      </w:pPr>
    </w:p>
    <w:p>
      <w:pPr>
        <w:adjustRightInd w:val="0"/>
        <w:snapToGrid w:val="0"/>
        <w:spacing w:line="700" w:lineRule="exact"/>
        <w:rPr>
          <w:rFonts w:eastAsia="仿宋_GB2312"/>
          <w:sz w:val="32"/>
          <w:szCs w:val="32"/>
        </w:rPr>
      </w:pPr>
    </w:p>
    <w:p>
      <w:pPr>
        <w:adjustRightInd w:val="0"/>
        <w:snapToGrid w:val="0"/>
        <w:spacing w:line="700" w:lineRule="exact"/>
        <w:rPr>
          <w:rFonts w:eastAsia="仿宋_GB2312"/>
          <w:sz w:val="32"/>
          <w:szCs w:val="32"/>
        </w:rPr>
      </w:pPr>
    </w:p>
    <w:p>
      <w:pPr>
        <w:pBdr>
          <w:top w:val="none" w:color="auto" w:sz="0" w:space="1"/>
          <w:left w:val="none" w:color="auto" w:sz="0" w:space="4"/>
          <w:bottom w:val="none" w:color="auto" w:sz="0" w:space="1"/>
          <w:right w:val="none" w:color="auto" w:sz="0" w:space="4"/>
        </w:pBdr>
        <w:adjustRightInd w:val="0"/>
        <w:snapToGrid w:val="0"/>
        <w:spacing w:line="460" w:lineRule="exact"/>
        <w:rPr>
          <w:rFonts w:eastAsia="仿宋_GB2312"/>
          <w:sz w:val="32"/>
        </w:rPr>
      </w:pPr>
    </w:p>
    <w:p>
      <w:pPr>
        <w:pBdr>
          <w:top w:val="none" w:color="auto" w:sz="0" w:space="1"/>
          <w:left w:val="none" w:color="auto" w:sz="0" w:space="4"/>
          <w:bottom w:val="none" w:color="auto" w:sz="0" w:space="1"/>
          <w:right w:val="none" w:color="auto" w:sz="0" w:space="4"/>
        </w:pBdr>
        <w:adjustRightInd w:val="0"/>
        <w:snapToGrid w:val="0"/>
        <w:spacing w:line="460" w:lineRule="exact"/>
        <w:rPr>
          <w:rFonts w:eastAsia="仿宋_GB2312"/>
          <w:sz w:val="32"/>
        </w:rPr>
      </w:pPr>
    </w:p>
    <w:p>
      <w:pPr>
        <w:pBdr>
          <w:top w:val="none" w:color="auto" w:sz="0" w:space="1"/>
          <w:left w:val="none" w:color="auto" w:sz="0" w:space="4"/>
          <w:bottom w:val="none" w:color="auto" w:sz="0" w:space="1"/>
          <w:right w:val="none" w:color="auto" w:sz="0" w:space="4"/>
        </w:pBdr>
        <w:adjustRightInd w:val="0"/>
        <w:snapToGrid w:val="0"/>
        <w:spacing w:line="460" w:lineRule="exact"/>
        <w:rPr>
          <w:rFonts w:eastAsia="仿宋_GB2312"/>
          <w:sz w:val="32"/>
        </w:rPr>
      </w:pPr>
    </w:p>
    <w:p>
      <w:pPr>
        <w:pBdr>
          <w:top w:val="single" w:color="auto" w:sz="12" w:space="1"/>
          <w:left w:val="none" w:color="auto" w:sz="0" w:space="4"/>
          <w:bottom w:val="single" w:color="auto" w:sz="12" w:space="1"/>
          <w:right w:val="none" w:color="auto" w:sz="0" w:space="4"/>
          <w:between w:val="single" w:color="auto" w:sz="8" w:space="0"/>
        </w:pBdr>
        <w:adjustRightInd w:val="0"/>
        <w:snapToGrid w:val="0"/>
        <w:spacing w:line="500" w:lineRule="exact"/>
        <w:rPr>
          <w:rFonts w:eastAsia="仿宋_GB2312"/>
          <w:sz w:val="28"/>
          <w:szCs w:val="28"/>
        </w:rPr>
      </w:pPr>
      <w:r>
        <w:rPr>
          <w:rFonts w:hint="eastAsia" w:eastAsia="仿宋_GB2312"/>
          <w:sz w:val="28"/>
          <w:szCs w:val="28"/>
        </w:rPr>
        <w:t xml:space="preserve">  抄送：中国内部审计协会。</w:t>
      </w:r>
    </w:p>
    <w:p>
      <w:pPr>
        <w:pBdr>
          <w:top w:val="single" w:color="auto" w:sz="12" w:space="1"/>
          <w:left w:val="none" w:color="auto" w:sz="0" w:space="4"/>
          <w:bottom w:val="single" w:color="auto" w:sz="12" w:space="1"/>
          <w:right w:val="none" w:color="auto" w:sz="0" w:space="4"/>
          <w:between w:val="single" w:color="auto" w:sz="8" w:space="0"/>
        </w:pBdr>
        <w:adjustRightInd w:val="0"/>
        <w:snapToGrid w:val="0"/>
        <w:spacing w:line="500" w:lineRule="exact"/>
        <w:rPr>
          <w:rFonts w:eastAsia="仿宋_GB2312"/>
          <w:sz w:val="28"/>
          <w:szCs w:val="28"/>
        </w:rPr>
      </w:pPr>
      <w:r>
        <w:rPr>
          <w:rFonts w:hint="eastAsia" w:eastAsia="仿宋_GB2312"/>
          <w:sz w:val="28"/>
          <w:szCs w:val="28"/>
        </w:rPr>
        <w:t xml:space="preserve">  署内分送：署领导，办公厅、法规司（4）。</w:t>
      </w:r>
    </w:p>
    <w:p>
      <w:pPr>
        <w:pBdr>
          <w:top w:val="single" w:color="auto" w:sz="12" w:space="1"/>
          <w:left w:val="none" w:color="auto" w:sz="0" w:space="4"/>
          <w:bottom w:val="single" w:color="auto" w:sz="12" w:space="1"/>
          <w:right w:val="none" w:color="auto" w:sz="0" w:space="4"/>
          <w:between w:val="single" w:color="auto" w:sz="8" w:space="0"/>
        </w:pBdr>
        <w:adjustRightInd w:val="0"/>
        <w:snapToGrid w:val="0"/>
        <w:spacing w:line="500" w:lineRule="exact"/>
        <w:rPr>
          <w:rFonts w:eastAsia="仿宋_GB2312"/>
          <w:sz w:val="28"/>
          <w:szCs w:val="28"/>
        </w:rPr>
      </w:pPr>
      <w:r>
        <w:rPr>
          <w:rFonts w:hint="eastAsia" w:eastAsia="仿宋_GB2312"/>
          <w:sz w:val="28"/>
          <w:szCs w:val="28"/>
        </w:rPr>
        <w:t xml:space="preserve">  审计署办公厅                             2018年1月15日印发  </w:t>
      </w:r>
    </w:p>
    <w:p>
      <w:pPr>
        <w:pBdr>
          <w:top w:val="none" w:color="auto" w:sz="0" w:space="1"/>
          <w:left w:val="none" w:color="auto" w:sz="0" w:space="4"/>
          <w:bottom w:val="none" w:color="auto" w:sz="0" w:space="1"/>
          <w:right w:val="none" w:color="auto" w:sz="0" w:space="4"/>
        </w:pBdr>
        <w:adjustRightInd w:val="0"/>
        <w:snapToGrid w:val="0"/>
        <w:spacing w:line="500" w:lineRule="exact"/>
        <w:rPr>
          <w:rFonts w:eastAsia="仿宋_GB2312"/>
          <w:sz w:val="28"/>
          <w:szCs w:val="28"/>
        </w:rPr>
      </w:pPr>
      <w:r>
        <w:rPr>
          <w:rFonts w:hint="eastAsia" w:eastAsia="仿宋_GB2312"/>
          <w:sz w:val="32"/>
          <w:szCs w:val="32"/>
        </w:rPr>
        <w:drawing>
          <wp:anchor distT="0" distB="0" distL="114300" distR="114300" simplePos="0" relativeHeight="251660288" behindDoc="0" locked="0" layoutInCell="1" allowOverlap="1">
            <wp:simplePos x="0" y="0"/>
            <wp:positionH relativeFrom="column">
              <wp:posOffset>3724275</wp:posOffset>
            </wp:positionH>
            <wp:positionV relativeFrom="paragraph">
              <wp:posOffset>393700</wp:posOffset>
            </wp:positionV>
            <wp:extent cx="1790700" cy="495300"/>
            <wp:effectExtent l="19050" t="0" r="0" b="0"/>
            <wp:wrapNone/>
            <wp:docPr id="2" name="图片 2" descr="意见_审法发〔2018〕2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意见_审法发〔2018〕2号"/>
                    <pic:cNvPicPr>
                      <a:picLocks noChangeAspect="1" noChangeArrowheads="1"/>
                    </pic:cNvPicPr>
                  </pic:nvPicPr>
                  <pic:blipFill>
                    <a:blip r:embed="rId6"/>
                    <a:srcRect/>
                    <a:stretch>
                      <a:fillRect/>
                    </a:stretch>
                  </pic:blipFill>
                  <pic:spPr>
                    <a:xfrm>
                      <a:off x="0" y="0"/>
                      <a:ext cx="1790700" cy="495300"/>
                    </a:xfrm>
                    <a:prstGeom prst="rect">
                      <a:avLst/>
                    </a:prstGeom>
                    <a:noFill/>
                    <a:ln w="9525" cmpd="sng">
                      <a:noFill/>
                      <a:miter lim="800000"/>
                      <a:headEnd/>
                      <a:tailEnd/>
                    </a:ln>
                  </pic:spPr>
                </pic:pic>
              </a:graphicData>
            </a:graphic>
          </wp:anchor>
        </w:drawing>
      </w:r>
      <w:r>
        <w:rPr>
          <w:rFonts w:hint="eastAsia" w:eastAsia="仿宋_GB2312"/>
          <w:sz w:val="28"/>
          <w:szCs w:val="28"/>
        </w:rPr>
        <w:t xml:space="preserve">                                               （只发电子文件）  </w:t>
      </w:r>
    </w:p>
    <w:sectPr>
      <w:footerReference r:id="rId3" w:type="default"/>
      <w:footerReference r:id="rId4" w:type="even"/>
      <w:pgSz w:w="11906" w:h="16838"/>
      <w:pgMar w:top="1985" w:right="1588" w:bottom="1928" w:left="1588" w:header="1247" w:footer="1531" w:gutter="0"/>
      <w:cols w:space="720" w:num="1"/>
      <w:docGrid w:type="linesAndChars" w:linePitch="312"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长城小标宋体">
    <w:altName w:val="MS Mincho"/>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Mincho">
    <w:panose1 w:val="020206090402050803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ind w:right="284"/>
      <w:rPr>
        <w:rStyle w:val="16"/>
      </w:rPr>
    </w:pPr>
    <w:r>
      <w:rPr>
        <w:rStyle w:val="16"/>
        <w:sz w:val="28"/>
      </w:rPr>
      <w:t xml:space="preserve"> —</w:t>
    </w:r>
    <w:r>
      <w:rPr>
        <w:rStyle w:val="16"/>
        <w:rFonts w:hint="eastAsia"/>
        <w:spacing w:val="100"/>
        <w:sz w:val="28"/>
      </w:rPr>
      <w:t xml:space="preserve"> </w:t>
    </w:r>
    <w:r>
      <w:rPr>
        <w:sz w:val="28"/>
      </w:rPr>
      <w:fldChar w:fldCharType="begin"/>
    </w:r>
    <w:r>
      <w:rPr>
        <w:rStyle w:val="16"/>
        <w:sz w:val="28"/>
      </w:rPr>
      <w:instrText xml:space="preserve">PAGE  </w:instrText>
    </w:r>
    <w:r>
      <w:rPr>
        <w:sz w:val="28"/>
      </w:rPr>
      <w:fldChar w:fldCharType="separate"/>
    </w:r>
    <w:r>
      <w:rPr>
        <w:rStyle w:val="16"/>
        <w:sz w:val="28"/>
      </w:rPr>
      <w:t>1</w:t>
    </w:r>
    <w:r>
      <w:rPr>
        <w:sz w:val="28"/>
      </w:rPr>
      <w:fldChar w:fldCharType="end"/>
    </w:r>
    <w:r>
      <w:rPr>
        <w:rStyle w:val="16"/>
        <w:rFonts w:hint="eastAsia"/>
        <w:spacing w:val="100"/>
        <w:sz w:val="28"/>
      </w:rPr>
      <w:t xml:space="preserve"> </w:t>
    </w:r>
    <w:r>
      <w:rPr>
        <w:rStyle w:val="16"/>
        <w:sz w:val="28"/>
      </w:rPr>
      <w:t>—</w:t>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16"/>
      </w:rPr>
    </w:pPr>
    <w:r>
      <w:fldChar w:fldCharType="begin"/>
    </w:r>
    <w:r>
      <w:rPr>
        <w:rStyle w:val="16"/>
      </w:rPr>
      <w:instrText xml:space="preserve">PAGE  </w:instrText>
    </w:r>
    <w:r>
      <w:fldChar w:fldCharType="separate"/>
    </w:r>
    <w:r>
      <w:rPr>
        <w:rStyle w:val="16"/>
      </w:rPr>
      <w:t>6</w:t>
    </w:r>
    <w:r>
      <w:fldChar w:fldCharType="end"/>
    </w:r>
  </w:p>
  <w:p>
    <w:pPr>
      <w:pStyle w:val="1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UUID" w:val="7efaa9e2-16106960589-34c29e129c40bdae6067b22af6b195b2"/>
  </w:docVars>
  <w:rsids>
    <w:rsidRoot w:val="00C8411F"/>
    <w:rsid w:val="002406DA"/>
    <w:rsid w:val="00251659"/>
    <w:rsid w:val="005466FF"/>
    <w:rsid w:val="005E1E92"/>
    <w:rsid w:val="0075063F"/>
    <w:rsid w:val="008F5168"/>
    <w:rsid w:val="00C8411F"/>
    <w:rsid w:val="00CF7F15"/>
    <w:rsid w:val="00D20168"/>
    <w:rsid w:val="06727F25"/>
    <w:rsid w:val="0B8938A0"/>
    <w:rsid w:val="12582176"/>
    <w:rsid w:val="1C5B4199"/>
    <w:rsid w:val="4FE82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8"/>
    <w:qFormat/>
    <w:uiPriority w:val="0"/>
    <w:pPr>
      <w:keepNext/>
      <w:spacing w:line="600" w:lineRule="exact"/>
      <w:outlineLvl w:val="0"/>
    </w:pPr>
    <w:rPr>
      <w:sz w:val="32"/>
    </w:rPr>
  </w:style>
  <w:style w:type="paragraph" w:styleId="3">
    <w:name w:val="heading 2"/>
    <w:basedOn w:val="1"/>
    <w:next w:val="4"/>
    <w:link w:val="19"/>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4"/>
    <w:link w:val="20"/>
    <w:qFormat/>
    <w:uiPriority w:val="0"/>
    <w:pPr>
      <w:keepNext/>
      <w:spacing w:line="400" w:lineRule="exact"/>
      <w:jc w:val="center"/>
      <w:outlineLvl w:val="2"/>
    </w:pPr>
    <w:rPr>
      <w:rFonts w:ascii="仿宋_GB2312"/>
      <w:spacing w:val="94"/>
      <w:sz w:val="32"/>
    </w:rPr>
  </w:style>
  <w:style w:type="character" w:default="1" w:styleId="15">
    <w:name w:val="Default Paragraph Font"/>
    <w:unhideWhenUsed/>
    <w:uiPriority w:val="1"/>
  </w:style>
  <w:style w:type="table" w:default="1" w:styleId="17">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Document Map"/>
    <w:basedOn w:val="1"/>
    <w:link w:val="28"/>
    <w:uiPriority w:val="0"/>
    <w:pPr>
      <w:shd w:val="clear" w:color="auto" w:fill="000080"/>
    </w:pPr>
  </w:style>
  <w:style w:type="paragraph" w:styleId="7">
    <w:name w:val="Body Text"/>
    <w:basedOn w:val="1"/>
    <w:link w:val="29"/>
    <w:uiPriority w:val="0"/>
    <w:pPr>
      <w:snapToGrid w:val="0"/>
      <w:spacing w:line="579" w:lineRule="exact"/>
    </w:pPr>
    <w:rPr>
      <w:rFonts w:eastAsia="仿宋_GB2312"/>
      <w:sz w:val="32"/>
    </w:rPr>
  </w:style>
  <w:style w:type="paragraph" w:styleId="8">
    <w:name w:val="Body Text Indent"/>
    <w:basedOn w:val="1"/>
    <w:link w:val="24"/>
    <w:qFormat/>
    <w:uiPriority w:val="0"/>
    <w:pPr>
      <w:ind w:firstLine="540"/>
    </w:pPr>
    <w:rPr>
      <w:sz w:val="30"/>
    </w:rPr>
  </w:style>
  <w:style w:type="paragraph" w:styleId="9">
    <w:name w:val="Plain Text"/>
    <w:basedOn w:val="1"/>
    <w:link w:val="21"/>
    <w:uiPriority w:val="0"/>
    <w:rPr>
      <w:rFonts w:ascii="宋体" w:hAnsi="Courier New"/>
    </w:rPr>
  </w:style>
  <w:style w:type="paragraph" w:styleId="10">
    <w:name w:val="Date"/>
    <w:basedOn w:val="1"/>
    <w:next w:val="1"/>
    <w:link w:val="27"/>
    <w:qFormat/>
    <w:uiPriority w:val="0"/>
    <w:rPr>
      <w:rFonts w:eastAsia="仿宋_GB2312"/>
      <w:sz w:val="32"/>
    </w:rPr>
  </w:style>
  <w:style w:type="paragraph" w:styleId="11">
    <w:name w:val="Body Text Indent 2"/>
    <w:basedOn w:val="1"/>
    <w:link w:val="23"/>
    <w:qFormat/>
    <w:uiPriority w:val="0"/>
    <w:pPr>
      <w:ind w:firstLine="720"/>
    </w:pPr>
    <w:rPr>
      <w:rFonts w:ascii="仿宋_GB2312" w:eastAsia="仿宋_GB2312"/>
      <w:sz w:val="30"/>
    </w:rPr>
  </w:style>
  <w:style w:type="paragraph" w:styleId="12">
    <w:name w:val="Balloon Text"/>
    <w:basedOn w:val="1"/>
    <w:link w:val="26"/>
    <w:uiPriority w:val="0"/>
    <w:rPr>
      <w:sz w:val="18"/>
      <w:szCs w:val="18"/>
    </w:rPr>
  </w:style>
  <w:style w:type="paragraph" w:styleId="13">
    <w:name w:val="footer"/>
    <w:basedOn w:val="1"/>
    <w:link w:val="22"/>
    <w:uiPriority w:val="0"/>
    <w:pPr>
      <w:tabs>
        <w:tab w:val="center" w:pos="4153"/>
        <w:tab w:val="right" w:pos="8306"/>
      </w:tabs>
      <w:snapToGrid w:val="0"/>
      <w:jc w:val="left"/>
    </w:pPr>
    <w:rPr>
      <w:sz w:val="18"/>
    </w:rPr>
  </w:style>
  <w:style w:type="paragraph" w:styleId="14">
    <w:name w:val="header"/>
    <w:basedOn w:val="1"/>
    <w:link w:val="25"/>
    <w:uiPriority w:val="0"/>
    <w:pPr>
      <w:pBdr>
        <w:bottom w:val="single" w:color="auto" w:sz="6" w:space="1"/>
      </w:pBdr>
      <w:tabs>
        <w:tab w:val="center" w:pos="4153"/>
        <w:tab w:val="right" w:pos="8306"/>
      </w:tabs>
      <w:snapToGrid w:val="0"/>
      <w:jc w:val="center"/>
    </w:pPr>
    <w:rPr>
      <w:sz w:val="18"/>
    </w:rPr>
  </w:style>
  <w:style w:type="character" w:styleId="16">
    <w:name w:val="page number"/>
    <w:basedOn w:val="15"/>
    <w:uiPriority w:val="0"/>
  </w:style>
  <w:style w:type="character" w:customStyle="1" w:styleId="18">
    <w:name w:val="标题 1 Char"/>
    <w:basedOn w:val="15"/>
    <w:link w:val="2"/>
    <w:uiPriority w:val="0"/>
    <w:rPr>
      <w:rFonts w:ascii="Times New Roman" w:hAnsi="Times New Roman" w:eastAsia="宋体" w:cs="Times New Roman"/>
      <w:sz w:val="32"/>
      <w:szCs w:val="20"/>
    </w:rPr>
  </w:style>
  <w:style w:type="character" w:customStyle="1" w:styleId="19">
    <w:name w:val="标题 2 Char"/>
    <w:basedOn w:val="15"/>
    <w:link w:val="3"/>
    <w:qFormat/>
    <w:uiPriority w:val="0"/>
    <w:rPr>
      <w:rFonts w:ascii="Arial" w:hAnsi="Arial" w:eastAsia="黑体" w:cs="Times New Roman"/>
      <w:b/>
      <w:sz w:val="32"/>
      <w:szCs w:val="20"/>
    </w:rPr>
  </w:style>
  <w:style w:type="character" w:customStyle="1" w:styleId="20">
    <w:name w:val="标题 3 Char"/>
    <w:basedOn w:val="15"/>
    <w:link w:val="5"/>
    <w:qFormat/>
    <w:uiPriority w:val="0"/>
    <w:rPr>
      <w:rFonts w:ascii="仿宋_GB2312" w:hAnsi="Times New Roman" w:eastAsia="宋体" w:cs="Times New Roman"/>
      <w:spacing w:val="94"/>
      <w:sz w:val="32"/>
      <w:szCs w:val="20"/>
    </w:rPr>
  </w:style>
  <w:style w:type="character" w:customStyle="1" w:styleId="21">
    <w:name w:val="纯文本 Char"/>
    <w:basedOn w:val="15"/>
    <w:link w:val="9"/>
    <w:qFormat/>
    <w:uiPriority w:val="0"/>
    <w:rPr>
      <w:rFonts w:ascii="宋体" w:hAnsi="Courier New" w:eastAsia="宋体" w:cs="Times New Roman"/>
      <w:szCs w:val="20"/>
    </w:rPr>
  </w:style>
  <w:style w:type="character" w:customStyle="1" w:styleId="22">
    <w:name w:val="页脚 Char"/>
    <w:basedOn w:val="15"/>
    <w:link w:val="13"/>
    <w:uiPriority w:val="0"/>
    <w:rPr>
      <w:rFonts w:ascii="Times New Roman" w:hAnsi="Times New Roman" w:eastAsia="宋体" w:cs="Times New Roman"/>
      <w:sz w:val="18"/>
      <w:szCs w:val="20"/>
    </w:rPr>
  </w:style>
  <w:style w:type="character" w:customStyle="1" w:styleId="23">
    <w:name w:val="正文文本缩进 2 Char"/>
    <w:basedOn w:val="15"/>
    <w:link w:val="11"/>
    <w:uiPriority w:val="0"/>
    <w:rPr>
      <w:rFonts w:ascii="仿宋_GB2312" w:hAnsi="Times New Roman" w:eastAsia="仿宋_GB2312" w:cs="Times New Roman"/>
      <w:sz w:val="30"/>
      <w:szCs w:val="20"/>
    </w:rPr>
  </w:style>
  <w:style w:type="character" w:customStyle="1" w:styleId="24">
    <w:name w:val="正文文本缩进 Char"/>
    <w:basedOn w:val="15"/>
    <w:link w:val="8"/>
    <w:uiPriority w:val="0"/>
    <w:rPr>
      <w:rFonts w:ascii="Times New Roman" w:hAnsi="Times New Roman" w:eastAsia="宋体" w:cs="Times New Roman"/>
      <w:sz w:val="30"/>
      <w:szCs w:val="20"/>
    </w:rPr>
  </w:style>
  <w:style w:type="character" w:customStyle="1" w:styleId="25">
    <w:name w:val="页眉 Char"/>
    <w:basedOn w:val="15"/>
    <w:link w:val="14"/>
    <w:uiPriority w:val="0"/>
    <w:rPr>
      <w:rFonts w:ascii="Times New Roman" w:hAnsi="Times New Roman" w:eastAsia="宋体" w:cs="Times New Roman"/>
      <w:sz w:val="18"/>
      <w:szCs w:val="20"/>
    </w:rPr>
  </w:style>
  <w:style w:type="character" w:customStyle="1" w:styleId="26">
    <w:name w:val="批注框文本 Char"/>
    <w:basedOn w:val="15"/>
    <w:link w:val="12"/>
    <w:uiPriority w:val="0"/>
    <w:rPr>
      <w:rFonts w:ascii="Times New Roman" w:hAnsi="Times New Roman" w:eastAsia="宋体" w:cs="Times New Roman"/>
      <w:sz w:val="18"/>
      <w:szCs w:val="18"/>
    </w:rPr>
  </w:style>
  <w:style w:type="character" w:customStyle="1" w:styleId="27">
    <w:name w:val="日期 Char"/>
    <w:basedOn w:val="15"/>
    <w:link w:val="10"/>
    <w:uiPriority w:val="0"/>
    <w:rPr>
      <w:rFonts w:ascii="Times New Roman" w:hAnsi="Times New Roman" w:eastAsia="仿宋_GB2312" w:cs="Times New Roman"/>
      <w:sz w:val="32"/>
      <w:szCs w:val="20"/>
    </w:rPr>
  </w:style>
  <w:style w:type="character" w:customStyle="1" w:styleId="28">
    <w:name w:val="文档结构图 Char"/>
    <w:basedOn w:val="15"/>
    <w:link w:val="6"/>
    <w:qFormat/>
    <w:uiPriority w:val="0"/>
    <w:rPr>
      <w:rFonts w:ascii="Times New Roman" w:hAnsi="Times New Roman" w:eastAsia="宋体" w:cs="Times New Roman"/>
      <w:szCs w:val="20"/>
      <w:shd w:val="clear" w:color="auto" w:fill="000080"/>
    </w:rPr>
  </w:style>
  <w:style w:type="character" w:customStyle="1" w:styleId="29">
    <w:name w:val="正文文本 Char"/>
    <w:basedOn w:val="15"/>
    <w:link w:val="7"/>
    <w:uiPriority w:val="0"/>
    <w:rPr>
      <w:rFonts w:ascii="Times New Roman" w:hAnsi="Times New Roman" w:eastAsia="仿宋_GB2312" w:cs="Times New Roman"/>
      <w:sz w:val="32"/>
      <w:szCs w:val="20"/>
    </w:rPr>
  </w:style>
  <w:style w:type="paragraph" w:customStyle="1" w:styleId="30">
    <w:name w:val="p15"/>
    <w:basedOn w:val="1"/>
    <w:qFormat/>
    <w:uiPriority w:val="0"/>
    <w:pPr>
      <w:widowControl/>
    </w:pPr>
    <w:rPr>
      <w:rFonts w:ascii="宋体" w:hAnsi="宋体" w:cs="宋体"/>
      <w:color w:val="000000"/>
      <w:kern w:val="0"/>
      <w:szCs w:val="21"/>
    </w:rPr>
  </w:style>
  <w:style w:type="paragraph" w:customStyle="1" w:styleId="31">
    <w:name w:val="Char Char Char Char Char Char Char"/>
    <w:basedOn w:val="1"/>
    <w:uiPriority w:val="0"/>
    <w:pPr>
      <w:widowControl/>
      <w:spacing w:after="160" w:line="240" w:lineRule="exact"/>
      <w:jc w:val="left"/>
    </w:pPr>
  </w:style>
  <w:style w:type="paragraph" w:customStyle="1" w:styleId="32">
    <w:name w:val="Char Char Char"/>
    <w:basedOn w:val="1"/>
    <w:uiPriority w:val="0"/>
    <w:pPr>
      <w:keepNext/>
      <w:widowControl/>
      <w:tabs>
        <w:tab w:val="left" w:pos="425"/>
      </w:tabs>
      <w:autoSpaceDE w:val="0"/>
      <w:autoSpaceDN w:val="0"/>
      <w:adjustRightInd w:val="0"/>
      <w:spacing w:before="80" w:after="80"/>
      <w:ind w:hanging="425"/>
    </w:pPr>
    <w:rPr>
      <w:szCs w:val="24"/>
    </w:rPr>
  </w:style>
  <w:style w:type="paragraph" w:customStyle="1" w:styleId="33">
    <w:name w:val="p0"/>
    <w:basedOn w:val="1"/>
    <w:uiPriority w:val="0"/>
    <w:pPr>
      <w:widowControl/>
    </w:pPr>
    <w:rPr>
      <w:kern w:val="0"/>
      <w:szCs w:val="21"/>
    </w:rPr>
  </w:style>
  <w:style w:type="paragraph" w:customStyle="1" w:styleId="34">
    <w:name w:val="Char Char Char Cha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493</Words>
  <Characters>2812</Characters>
  <Lines>23</Lines>
  <Paragraphs>6</Paragraphs>
  <ScaleCrop>false</ScaleCrop>
  <LinksUpToDate>false</LinksUpToDate>
  <CharactersWithSpaces>3299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2018-01-19T01:15:00Z</dcterms:created>
  <dc:creator>于连俊</dc:creator>
  <cp:lastModifiedBy>素笺</cp:lastModifiedBy>
  <dcterms:modified xsi:type="dcterms:W3CDTF">2018-01-26T02:19:32Z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

<file path=userCustomization/customUI.xml><?xml version="1.0" encoding="utf-8"?>
<customUI xmlns="http://schemas.microsoft.com/office/2006/01/customui">
  <commands>
    <command idMso="ApplicationOptionsDialog" enabled="false"/>
  </commands>
  <ribbon startFromScratch="true">
    <officeMenu>
      <button idMso="FileNew" visible="false"/>
      <button idMso="FileOpen" visible="false"/>
      <button idMso="FileSaveAs" visible="true"/>
      <menu idMso="FilePrintMenu" visible="true"/>
      <button idMso="FileProperties" visible="false"/>
      <button idMso="FileClose" visible="false"/>
      <menu idMso="MenuPublish" visible="false"/>
      <menu idMso="FileSendMenu" visible="false"/>
      <menu idMso="FilePrepareMenu" visible="false"/>
    </officeMenu>
    <tabs>
      <tab idMso="TabHome" visible="true">
        <group idMso="GroupFont" visible="false"/>
        <group idMso="GroupParagraph" visible="false"/>
        <group idMso="GroupStyles" visible="false"/>
        <group idMso="GroupEditing" visible="false"/>
      </tab>
    </tabs>
  </ribbon>
</customUI>
</file>