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37" w:lineRule="exact"/>
        <w:rPr>
          <w:rFonts w:ascii="Times New Roman" w:hAnsi="Times New Roman" w:eastAsia="Times New Roman"/>
          <w:sz w:val="24"/>
        </w:rPr>
      </w:pPr>
      <w:bookmarkStart w:id="0" w:name="page1"/>
      <w:bookmarkEnd w:id="0"/>
    </w:p>
    <w:p>
      <w:pPr>
        <w:spacing w:line="200" w:lineRule="exact"/>
        <w:rPr>
          <w:rFonts w:ascii="Times New Roman" w:hAnsi="Times New Roman" w:eastAsia="Times New Roman"/>
          <w:sz w:val="24"/>
        </w:rPr>
      </w:pPr>
    </w:p>
    <w:p>
      <w:pPr>
        <w:pStyle w:val="2"/>
        <w:keepNext/>
        <w:keepLines/>
        <w:pageBreakBefore w:val="0"/>
        <w:widowControl/>
        <w:kinsoku/>
        <w:wordWrap/>
        <w:overflowPunct/>
        <w:topLinePunct w:val="0"/>
        <w:autoSpaceDE/>
        <w:autoSpaceDN/>
        <w:bidi w:val="0"/>
        <w:adjustRightInd/>
        <w:snapToGrid/>
        <w:spacing w:before="340" w:beforeLines="0" w:after="330" w:afterLines="0" w:line="240" w:lineRule="auto"/>
        <w:ind w:left="0" w:leftChars="0" w:right="0" w:rightChars="0" w:firstLine="0" w:firstLineChars="0"/>
        <w:jc w:val="center"/>
        <w:textAlignment w:val="auto"/>
        <w:outlineLvl w:val="0"/>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广西中医药大学高水平运动员新生专业分配管理规定（试行）</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5" w:lineRule="exact"/>
        <w:rPr>
          <w:rFonts w:ascii="Times New Roman" w:hAnsi="Times New Roman" w:eastAsia="Times New Roman"/>
        </w:rPr>
      </w:pPr>
    </w:p>
    <w:p>
      <w:pPr>
        <w:spacing w:line="370" w:lineRule="auto"/>
        <w:ind w:firstLine="640"/>
        <w:rPr>
          <w:rFonts w:hint="eastAsia" w:ascii="仿宋" w:hAnsi="仿宋" w:eastAsia="仿宋" w:cs="仿宋"/>
          <w:sz w:val="32"/>
          <w:szCs w:val="32"/>
        </w:rPr>
      </w:pPr>
      <w:r>
        <w:rPr>
          <w:rFonts w:hint="eastAsia" w:ascii="仿宋" w:hAnsi="仿宋" w:eastAsia="仿宋" w:cs="仿宋"/>
          <w:sz w:val="32"/>
          <w:szCs w:val="32"/>
        </w:rPr>
        <w:t>为了加强对高水平运动员的培养，规范高水平运动员新生专业分配管理，现依据有关规定并结合我校实际，特制定本规定：</w:t>
      </w:r>
    </w:p>
    <w:p>
      <w:pPr>
        <w:spacing w:line="68" w:lineRule="exact"/>
        <w:rPr>
          <w:rFonts w:hint="eastAsia" w:ascii="仿宋" w:hAnsi="仿宋" w:eastAsia="仿宋" w:cs="仿宋"/>
          <w:sz w:val="32"/>
          <w:szCs w:val="32"/>
        </w:rPr>
      </w:pPr>
    </w:p>
    <w:p>
      <w:pPr>
        <w:spacing w:line="351" w:lineRule="auto"/>
        <w:ind w:right="120" w:firstLine="640"/>
        <w:jc w:val="both"/>
        <w:rPr>
          <w:rFonts w:hint="eastAsia" w:ascii="仿宋" w:hAnsi="仿宋" w:eastAsia="仿宋" w:cs="仿宋"/>
          <w:sz w:val="32"/>
          <w:szCs w:val="32"/>
        </w:rPr>
      </w:pPr>
      <w:r>
        <w:rPr>
          <w:rFonts w:hint="eastAsia" w:ascii="仿宋" w:hAnsi="仿宋" w:eastAsia="仿宋" w:cs="仿宋"/>
          <w:sz w:val="32"/>
          <w:szCs w:val="32"/>
        </w:rPr>
        <w:t>一、高水平运动员新生所选报的本科专业志愿必须以广西中医药大学当年本科招生计划为准。</w:t>
      </w:r>
    </w:p>
    <w:p>
      <w:pPr>
        <w:spacing w:line="90" w:lineRule="exact"/>
        <w:rPr>
          <w:rFonts w:hint="eastAsia" w:ascii="仿宋" w:hAnsi="仿宋" w:eastAsia="仿宋" w:cs="仿宋"/>
          <w:sz w:val="32"/>
          <w:szCs w:val="32"/>
        </w:rPr>
      </w:pPr>
    </w:p>
    <w:p>
      <w:pPr>
        <w:spacing w:line="370" w:lineRule="auto"/>
        <w:ind w:right="120" w:firstLine="640"/>
        <w:jc w:val="both"/>
        <w:rPr>
          <w:rFonts w:hint="eastAsia" w:ascii="仿宋" w:hAnsi="仿宋" w:eastAsia="仿宋" w:cs="仿宋"/>
          <w:sz w:val="32"/>
          <w:szCs w:val="32"/>
        </w:rPr>
      </w:pPr>
      <w:r>
        <w:rPr>
          <w:rFonts w:hint="eastAsia" w:ascii="仿宋" w:hAnsi="仿宋" w:eastAsia="仿宋" w:cs="仿宋"/>
          <w:sz w:val="32"/>
          <w:szCs w:val="32"/>
        </w:rPr>
        <w:t>二、学校以高水平运动员当年高考成绩优先为基本原则，结合考生志愿填报情况以及我校各体育项目建设发展的需求等进行综合评定，对符合我校录取要求的高水平运动员进行专业分配。</w:t>
      </w:r>
    </w:p>
    <w:p>
      <w:pPr>
        <w:spacing w:line="65" w:lineRule="exact"/>
        <w:rPr>
          <w:rFonts w:hint="eastAsia" w:ascii="仿宋" w:hAnsi="仿宋" w:eastAsia="仿宋" w:cs="仿宋"/>
          <w:sz w:val="32"/>
          <w:szCs w:val="32"/>
        </w:rPr>
      </w:pPr>
    </w:p>
    <w:p>
      <w:pPr>
        <w:spacing w:line="387" w:lineRule="auto"/>
        <w:ind w:firstLine="640"/>
        <w:jc w:val="both"/>
        <w:rPr>
          <w:rFonts w:hint="eastAsia" w:ascii="仿宋" w:hAnsi="仿宋" w:eastAsia="仿宋" w:cs="仿宋"/>
          <w:sz w:val="32"/>
          <w:szCs w:val="32"/>
        </w:rPr>
      </w:pPr>
      <w:r>
        <w:rPr>
          <w:rFonts w:hint="eastAsia" w:ascii="仿宋" w:hAnsi="仿宋" w:eastAsia="仿宋" w:cs="仿宋"/>
          <w:sz w:val="32"/>
          <w:szCs w:val="32"/>
        </w:rPr>
        <w:t>三、参加当年普通高考且高考成绩达考生所在省（自治区、直辖市）高水平运动员招生录取控制线（没有单独划定高水平运动员招生录取控制线的省份参照本省份的二本线）的高水平运动员考生，可按考生所属文理科类别，分配范围为我校当年在该省（自治区、直辖市）招生的所有第二批次本科专业。</w:t>
      </w:r>
    </w:p>
    <w:p>
      <w:pPr>
        <w:spacing w:line="45" w:lineRule="exact"/>
        <w:rPr>
          <w:rFonts w:hint="eastAsia" w:ascii="仿宋" w:hAnsi="仿宋" w:eastAsia="仿宋" w:cs="仿宋"/>
          <w:sz w:val="32"/>
          <w:szCs w:val="32"/>
        </w:rPr>
      </w:pPr>
    </w:p>
    <w:p>
      <w:pPr>
        <w:spacing w:line="369" w:lineRule="auto"/>
        <w:ind w:firstLine="640"/>
        <w:jc w:val="both"/>
        <w:rPr>
          <w:rFonts w:hint="eastAsia" w:ascii="仿宋" w:hAnsi="仿宋" w:eastAsia="仿宋" w:cs="仿宋"/>
          <w:sz w:val="32"/>
          <w:szCs w:val="32"/>
        </w:rPr>
      </w:pPr>
      <w:r>
        <w:rPr>
          <w:rFonts w:hint="eastAsia" w:ascii="仿宋" w:hAnsi="仿宋" w:eastAsia="仿宋" w:cs="仿宋"/>
          <w:sz w:val="32"/>
          <w:szCs w:val="32"/>
        </w:rPr>
        <w:t>四、当年普通高考成绩未达考生所在省（自治区、直辖市）高水平运动员招生录取控制线（没有单独划定高水平运动员招生录取控制线的省份参照本省份的二本线）但达80%的，按考生所属文理科类别，在我校当年在该省（自治区、直辖市）招生的管理学门类专业、应用心理学、针灸推拿学、护理学、康复治疗学等专业范围内分配专业。</w:t>
      </w:r>
    </w:p>
    <w:p>
      <w:pPr>
        <w:spacing w:line="260" w:lineRule="exact"/>
        <w:rPr>
          <w:rFonts w:hint="eastAsia" w:ascii="仿宋" w:hAnsi="仿宋" w:eastAsia="仿宋" w:cs="仿宋"/>
          <w:sz w:val="32"/>
          <w:szCs w:val="32"/>
        </w:rPr>
      </w:pPr>
    </w:p>
    <w:p>
      <w:pPr>
        <w:spacing w:line="369" w:lineRule="auto"/>
        <w:ind w:firstLine="640"/>
        <w:rPr>
          <w:rFonts w:hint="eastAsia" w:ascii="仿宋" w:hAnsi="仿宋" w:eastAsia="仿宋" w:cs="仿宋"/>
          <w:sz w:val="32"/>
          <w:szCs w:val="32"/>
        </w:rPr>
      </w:pPr>
      <w:r>
        <w:rPr>
          <w:rFonts w:hint="eastAsia" w:ascii="仿宋" w:hAnsi="仿宋" w:eastAsia="仿宋" w:cs="仿宋"/>
          <w:sz w:val="32"/>
          <w:szCs w:val="32"/>
        </w:rPr>
        <w:t>五、当年普通高考成绩未达考生所在省（自治区、直辖市）高水平运动员招生录取控制线（没有单独划定高水平运动员招生录取控制线的省份参照本省份的二本线）的80%，以及通过我校文化课单独考试方式录取的考生，按考生所属文理科类别在我校当年招生的管理学门类专业范围内分配专业。</w:t>
      </w:r>
    </w:p>
    <w:p>
      <w:pPr>
        <w:spacing w:line="66" w:lineRule="exact"/>
        <w:rPr>
          <w:rFonts w:hint="eastAsia" w:ascii="仿宋" w:hAnsi="仿宋" w:eastAsia="仿宋" w:cs="仿宋"/>
          <w:sz w:val="32"/>
          <w:szCs w:val="32"/>
        </w:rPr>
      </w:pPr>
    </w:p>
    <w:p>
      <w:pPr>
        <w:spacing w:line="351" w:lineRule="auto"/>
        <w:ind w:right="100" w:firstLine="640"/>
        <w:jc w:val="both"/>
        <w:rPr>
          <w:rFonts w:hint="eastAsia" w:ascii="仿宋" w:hAnsi="仿宋" w:eastAsia="仿宋" w:cs="仿宋"/>
          <w:sz w:val="32"/>
          <w:szCs w:val="32"/>
        </w:rPr>
      </w:pPr>
      <w:r>
        <w:rPr>
          <w:rFonts w:hint="eastAsia" w:ascii="仿宋" w:hAnsi="仿宋" w:eastAsia="仿宋" w:cs="仿宋"/>
          <w:sz w:val="32"/>
          <w:szCs w:val="32"/>
        </w:rPr>
        <w:t>六、所有选报及分配的本科专业，录取要求与当年《广西中医药大学招生章程》相符。</w:t>
      </w:r>
    </w:p>
    <w:p>
      <w:pPr>
        <w:spacing w:line="90" w:lineRule="exact"/>
        <w:rPr>
          <w:rFonts w:hint="eastAsia" w:ascii="仿宋" w:hAnsi="仿宋" w:eastAsia="仿宋" w:cs="仿宋"/>
          <w:sz w:val="32"/>
          <w:szCs w:val="32"/>
        </w:rPr>
      </w:pPr>
    </w:p>
    <w:p>
      <w:pPr>
        <w:spacing w:line="351" w:lineRule="auto"/>
        <w:ind w:right="100" w:firstLine="640"/>
        <w:jc w:val="both"/>
        <w:rPr>
          <w:rFonts w:hint="eastAsia" w:ascii="仿宋" w:hAnsi="仿宋" w:eastAsia="仿宋" w:cs="仿宋"/>
          <w:sz w:val="32"/>
          <w:szCs w:val="32"/>
        </w:rPr>
      </w:pPr>
      <w:r>
        <w:rPr>
          <w:rFonts w:hint="eastAsia" w:ascii="仿宋" w:hAnsi="仿宋" w:eastAsia="仿宋" w:cs="仿宋"/>
          <w:sz w:val="32"/>
          <w:szCs w:val="32"/>
        </w:rPr>
        <w:t>七、本规定自下文之日起施行。过去印发的有关规定，与此相矛盾的按本规定执行。</w:t>
      </w:r>
      <w:bookmarkStart w:id="1" w:name="_GoBack"/>
      <w:bookmarkEnd w:id="1"/>
    </w:p>
    <w:sectPr>
      <w:pgSz w:w="11900" w:h="16840"/>
      <w:pgMar w:top="1440" w:right="2060" w:bottom="1440" w:left="1800" w:header="0" w:footer="0" w:gutter="0"/>
      <w:cols w:equalWidth="0" w:num="1">
        <w:col w:w="80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D2512"/>
    <w:rsid w:val="36E81ABD"/>
    <w:rsid w:val="4AAD25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2017-01-13T01:02:00Z</dcterms:created>
  <dc:creator>010010</dc:creator>
  <cp:lastModifiedBy>010010</cp:lastModifiedBy>
  <dcterms:modified xsi:type="dcterms:W3CDTF">2017-01-13T01:08:58Z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