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ascii="方正小标宋简体" w:eastAsia="方正小标宋简体"/>
          <w:color w:val="000000"/>
          <w:spacing w:val="0"/>
          <w:sz w:val="44"/>
          <w:szCs w:val="44"/>
        </w:rPr>
      </w:pPr>
      <w:r w:rsidRPr="00ED6656">
        <w:rPr>
          <w:rFonts w:ascii="方正小标宋简体" w:eastAsia="方正小标宋简体" w:hint="eastAsia"/>
          <w:color w:val="000000"/>
          <w:spacing w:val="0"/>
          <w:sz w:val="44"/>
          <w:szCs w:val="44"/>
        </w:rPr>
        <w:t>广西壮族自治区特聘专家制度实施办法</w:t>
      </w:r>
    </w:p>
    <w:p w:rsidR="00A86BB6" w:rsidRPr="00ED6656" w:rsidRDefault="00A86BB6" w:rsidP="00A86BB6">
      <w:pPr>
        <w:snapToGrid w:val="0"/>
        <w:spacing w:line="590" w:lineRule="exact"/>
        <w:jc w:val="center"/>
        <w:rPr>
          <w:rFonts w:eastAsia="楷体_GB2312"/>
          <w:b/>
          <w:color w:val="000000"/>
          <w:spacing w:val="0"/>
          <w:sz w:val="32"/>
          <w:szCs w:val="32"/>
        </w:rPr>
      </w:pPr>
    </w:p>
    <w:p w:rsidR="00A86BB6" w:rsidRPr="00ED6656" w:rsidRDefault="00A86BB6" w:rsidP="00A86BB6">
      <w:pPr>
        <w:snapToGrid w:val="0"/>
        <w:spacing w:line="590" w:lineRule="exact"/>
        <w:jc w:val="center"/>
        <w:rPr>
          <w:rFonts w:eastAsia="楷体_GB2312"/>
          <w:b/>
          <w:color w:val="000000"/>
          <w:spacing w:val="0"/>
          <w:sz w:val="32"/>
          <w:szCs w:val="32"/>
        </w:rPr>
      </w:pPr>
      <w:r w:rsidRPr="00ED6656">
        <w:rPr>
          <w:rFonts w:eastAsia="楷体_GB2312" w:hint="eastAsia"/>
          <w:b/>
          <w:color w:val="000000"/>
          <w:spacing w:val="0"/>
          <w:sz w:val="32"/>
          <w:szCs w:val="32"/>
        </w:rPr>
        <w:t>（</w:t>
      </w:r>
      <w:r w:rsidRPr="00ED6656">
        <w:rPr>
          <w:rFonts w:eastAsia="楷体_GB2312"/>
          <w:b/>
          <w:color w:val="000000"/>
          <w:spacing w:val="0"/>
          <w:sz w:val="32"/>
          <w:szCs w:val="32"/>
        </w:rPr>
        <w:t>桂办发〔</w:t>
      </w:r>
      <w:r w:rsidRPr="00ED6656">
        <w:rPr>
          <w:rFonts w:eastAsia="楷体_GB2312"/>
          <w:b/>
          <w:color w:val="000000"/>
          <w:spacing w:val="0"/>
          <w:sz w:val="32"/>
          <w:szCs w:val="32"/>
        </w:rPr>
        <w:t>2017</w:t>
      </w:r>
      <w:r w:rsidRPr="00ED6656">
        <w:rPr>
          <w:rFonts w:eastAsia="楷体_GB2312"/>
          <w:b/>
          <w:color w:val="000000"/>
          <w:spacing w:val="0"/>
          <w:sz w:val="32"/>
          <w:szCs w:val="32"/>
        </w:rPr>
        <w:t>〕</w:t>
      </w:r>
      <w:r w:rsidRPr="00ED6656">
        <w:rPr>
          <w:rFonts w:eastAsia="楷体_GB2312"/>
          <w:b/>
          <w:color w:val="000000"/>
          <w:spacing w:val="0"/>
          <w:sz w:val="32"/>
          <w:szCs w:val="32"/>
        </w:rPr>
        <w:t>36</w:t>
      </w:r>
      <w:r w:rsidRPr="00ED6656">
        <w:rPr>
          <w:rFonts w:eastAsia="楷体_GB2312"/>
          <w:b/>
          <w:color w:val="000000"/>
          <w:spacing w:val="0"/>
          <w:sz w:val="32"/>
          <w:szCs w:val="32"/>
        </w:rPr>
        <w:t>号</w:t>
      </w:r>
      <w:r w:rsidRPr="00ED6656">
        <w:rPr>
          <w:rFonts w:eastAsia="楷体_GB2312" w:hint="eastAsia"/>
          <w:b/>
          <w:color w:val="000000"/>
          <w:spacing w:val="0"/>
          <w:sz w:val="32"/>
          <w:szCs w:val="32"/>
        </w:rPr>
        <w:t>）</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ascii="黑体" w:eastAsia="黑体" w:hAnsi="黑体"/>
          <w:color w:val="000000"/>
          <w:spacing w:val="0"/>
          <w:sz w:val="32"/>
          <w:szCs w:val="32"/>
        </w:rPr>
      </w:pPr>
      <w:r w:rsidRPr="00ED6656">
        <w:rPr>
          <w:rFonts w:ascii="黑体" w:eastAsia="黑体" w:hAnsi="黑体"/>
          <w:color w:val="000000"/>
          <w:spacing w:val="0"/>
          <w:sz w:val="32"/>
          <w:szCs w:val="32"/>
        </w:rPr>
        <w:t>第一章　总　则</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第一条</w:t>
      </w:r>
      <w:r w:rsidRPr="00ED6656">
        <w:rPr>
          <w:rFonts w:eastAsia="仿宋_GB2312"/>
          <w:color w:val="000000"/>
          <w:spacing w:val="0"/>
          <w:sz w:val="32"/>
          <w:szCs w:val="32"/>
        </w:rPr>
        <w:t xml:space="preserve">　为深入实施人才强桂战略，完善我区高层次人才开发总体格局，根据自治区党委、自治区人民政府印发的《关于实施创新驱动发展战略的决定》《关于深化人才发展体制机制改革的实施意见》等文件精神，制定本办法。</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第二条</w:t>
      </w:r>
      <w:r w:rsidRPr="00ED6656">
        <w:rPr>
          <w:rFonts w:eastAsia="仿宋_GB2312"/>
          <w:color w:val="000000"/>
          <w:spacing w:val="0"/>
          <w:sz w:val="32"/>
          <w:szCs w:val="32"/>
        </w:rPr>
        <w:t xml:space="preserve">　特聘专家是指受聘于自治区批准设置的特聘专家岗位的学术技术带头人。</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第三条</w:t>
      </w:r>
      <w:r w:rsidRPr="00ED6656">
        <w:rPr>
          <w:rFonts w:eastAsia="仿宋_GB2312"/>
          <w:color w:val="000000"/>
          <w:spacing w:val="0"/>
          <w:sz w:val="32"/>
          <w:szCs w:val="32"/>
        </w:rPr>
        <w:t xml:space="preserve">　特聘专家选聘工作实行按需设岗、公开招聘、绩效考核、动态管理。全区共设置</w:t>
      </w:r>
      <w:r w:rsidRPr="00ED6656">
        <w:rPr>
          <w:rFonts w:eastAsia="仿宋_GB2312"/>
          <w:color w:val="000000"/>
          <w:spacing w:val="0"/>
          <w:sz w:val="32"/>
          <w:szCs w:val="32"/>
        </w:rPr>
        <w:t>200</w:t>
      </w:r>
      <w:r w:rsidRPr="00ED6656">
        <w:rPr>
          <w:rFonts w:eastAsia="仿宋_GB2312"/>
          <w:color w:val="000000"/>
          <w:spacing w:val="0"/>
          <w:sz w:val="32"/>
          <w:szCs w:val="32"/>
        </w:rPr>
        <w:t>个左右特聘专家岗位，将设岗与选才紧密结合，可以先设岗再引才，也可以因人设岗，力求人岗相适，科学配置创新创业资源。</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第四条</w:t>
      </w:r>
      <w:r w:rsidRPr="00ED6656">
        <w:rPr>
          <w:rFonts w:eastAsia="仿宋_GB2312"/>
          <w:color w:val="000000"/>
          <w:spacing w:val="0"/>
          <w:sz w:val="32"/>
          <w:szCs w:val="32"/>
        </w:rPr>
        <w:t xml:space="preserve">　在特聘专家项目中设立特聘青年专家岗位，将特聘专家制度与自治区新世纪</w:t>
      </w:r>
      <w:r w:rsidRPr="00ED6656">
        <w:rPr>
          <w:rFonts w:ascii="宋体" w:hAnsi="宋体"/>
          <w:color w:val="000000"/>
          <w:spacing w:val="0"/>
          <w:sz w:val="32"/>
          <w:szCs w:val="32"/>
        </w:rPr>
        <w:t>“</w:t>
      </w:r>
      <w:r w:rsidRPr="00ED6656">
        <w:rPr>
          <w:rFonts w:eastAsia="仿宋_GB2312"/>
          <w:color w:val="000000"/>
          <w:spacing w:val="0"/>
          <w:sz w:val="32"/>
          <w:szCs w:val="32"/>
        </w:rPr>
        <w:t>十百千</w:t>
      </w:r>
      <w:r w:rsidRPr="00ED6656">
        <w:rPr>
          <w:rFonts w:ascii="宋体" w:hAnsi="宋体"/>
          <w:color w:val="000000"/>
          <w:spacing w:val="0"/>
          <w:sz w:val="32"/>
          <w:szCs w:val="32"/>
        </w:rPr>
        <w:t>”</w:t>
      </w:r>
      <w:r w:rsidRPr="00ED6656">
        <w:rPr>
          <w:rFonts w:eastAsia="仿宋_GB2312"/>
          <w:color w:val="000000"/>
          <w:spacing w:val="0"/>
          <w:sz w:val="32"/>
          <w:szCs w:val="32"/>
        </w:rPr>
        <w:t>人才工程相衔接，该工程第二层次人选同时作为特聘青年专家。</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第五条</w:t>
      </w:r>
      <w:r w:rsidRPr="00ED6656">
        <w:rPr>
          <w:rFonts w:eastAsia="仿宋_GB2312"/>
          <w:color w:val="000000"/>
          <w:spacing w:val="0"/>
          <w:sz w:val="32"/>
          <w:szCs w:val="32"/>
        </w:rPr>
        <w:t xml:space="preserve">　特聘专家制度由自治区党委人才工作领导小组统一</w:t>
      </w:r>
      <w:r w:rsidRPr="00ED6656">
        <w:rPr>
          <w:rFonts w:eastAsia="仿宋_GB2312"/>
          <w:color w:val="000000"/>
          <w:spacing w:val="0"/>
          <w:sz w:val="32"/>
          <w:szCs w:val="32"/>
        </w:rPr>
        <w:lastRenderedPageBreak/>
        <w:t>指导实施，自治区人力资源社会保障部门负责特聘专家日常管理和服务工作。</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eastAsia="仿宋_GB2312"/>
          <w:color w:val="000000"/>
          <w:spacing w:val="0"/>
          <w:sz w:val="32"/>
          <w:szCs w:val="32"/>
        </w:rPr>
      </w:pPr>
      <w:r w:rsidRPr="00ED6656">
        <w:rPr>
          <w:rFonts w:ascii="黑体" w:eastAsia="黑体" w:hAnsi="黑体"/>
          <w:color w:val="000000"/>
          <w:spacing w:val="0"/>
          <w:sz w:val="32"/>
          <w:szCs w:val="32"/>
        </w:rPr>
        <w:t>第二章　岗位设置</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第六条</w:t>
      </w:r>
      <w:r w:rsidRPr="00ED6656">
        <w:rPr>
          <w:rFonts w:eastAsia="仿宋_GB2312"/>
          <w:color w:val="000000"/>
          <w:spacing w:val="0"/>
          <w:sz w:val="32"/>
          <w:szCs w:val="32"/>
        </w:rPr>
        <w:t xml:space="preserve">　特聘专家岗位设置，服从和服务于全区经济社会发展大局，重点支持自治区重点产业、重大项目、重要创新平台载体和优势企事业单位，促进人才链与产业链、创新链、资金链高度对接。同一学科或行业领域一般不重复设置特聘专家岗位。</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第七条</w:t>
      </w:r>
      <w:r w:rsidRPr="00ED6656">
        <w:rPr>
          <w:rFonts w:eastAsia="仿宋_GB2312"/>
          <w:color w:val="000000"/>
          <w:spacing w:val="0"/>
          <w:sz w:val="32"/>
          <w:szCs w:val="32"/>
        </w:rPr>
        <w:t xml:space="preserve">　特聘专家设岗单位应当具备以下条件：</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（一）具备支持设岗行业、产业、学科领域发展的学术技术优势和综合实力，能够为特聘专家及其创新创业团队提供良好的工作和生活条件。</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（二）具有数量充足、素质优良、结构合理的科研队伍，近</w:t>
      </w:r>
      <w:r w:rsidRPr="00ED6656">
        <w:rPr>
          <w:rFonts w:eastAsia="仿宋_GB2312"/>
          <w:color w:val="000000"/>
          <w:spacing w:val="0"/>
          <w:sz w:val="32"/>
          <w:szCs w:val="32"/>
        </w:rPr>
        <w:t>5</w:t>
      </w:r>
      <w:r w:rsidRPr="00ED6656">
        <w:rPr>
          <w:rFonts w:eastAsia="仿宋_GB2312"/>
          <w:color w:val="000000"/>
          <w:spacing w:val="0"/>
          <w:sz w:val="32"/>
          <w:szCs w:val="32"/>
        </w:rPr>
        <w:t>年承担过国家级科研课题或省部级重点科研、工程项目，发表和出版过一定数量的高水平论文、专著；或获得过省部级二等奖以上的科学技术或社会科学奖励；或取得发明专利、实用新型专利，且科技成果转化取得较大经济社会效益。</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（三）产学研用结合较好，具备开展区内外联合研究和技术推广应用的条件。</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第八条</w:t>
      </w:r>
      <w:r w:rsidRPr="00ED6656">
        <w:rPr>
          <w:rFonts w:eastAsia="仿宋_GB2312"/>
          <w:color w:val="000000"/>
          <w:spacing w:val="0"/>
          <w:sz w:val="32"/>
          <w:szCs w:val="32"/>
        </w:rPr>
        <w:t xml:space="preserve">　特聘专家岗位每年组织申报一次，每个岗位每轮设置期限为</w:t>
      </w:r>
      <w:r w:rsidRPr="00ED6656">
        <w:rPr>
          <w:rFonts w:eastAsia="仿宋_GB2312"/>
          <w:color w:val="000000"/>
          <w:spacing w:val="0"/>
          <w:sz w:val="32"/>
          <w:szCs w:val="32"/>
        </w:rPr>
        <w:t>3</w:t>
      </w:r>
      <w:r w:rsidRPr="00ED6656">
        <w:rPr>
          <w:rFonts w:eastAsia="仿宋_GB2312"/>
          <w:color w:val="000000"/>
          <w:spacing w:val="0"/>
          <w:sz w:val="32"/>
          <w:szCs w:val="32"/>
        </w:rPr>
        <w:t>年，岗位设置与人才选聘工作统筹实施。特聘青年专家岗位设置和选聘工作按照自治区新世纪</w:t>
      </w:r>
      <w:r w:rsidRPr="00ED6656">
        <w:rPr>
          <w:rFonts w:ascii="宋体" w:hAnsi="宋体"/>
          <w:color w:val="000000"/>
          <w:spacing w:val="0"/>
          <w:sz w:val="32"/>
          <w:szCs w:val="32"/>
        </w:rPr>
        <w:t>“</w:t>
      </w:r>
      <w:r w:rsidRPr="00ED6656">
        <w:rPr>
          <w:rFonts w:eastAsia="仿宋_GB2312"/>
          <w:color w:val="000000"/>
          <w:spacing w:val="0"/>
          <w:sz w:val="32"/>
          <w:szCs w:val="32"/>
        </w:rPr>
        <w:t>十百千</w:t>
      </w:r>
      <w:r w:rsidRPr="00ED6656">
        <w:rPr>
          <w:rFonts w:ascii="宋体" w:hAnsi="宋体"/>
          <w:color w:val="000000"/>
          <w:spacing w:val="0"/>
          <w:sz w:val="32"/>
          <w:szCs w:val="32"/>
        </w:rPr>
        <w:t>”</w:t>
      </w:r>
      <w:r w:rsidRPr="00ED6656">
        <w:rPr>
          <w:rFonts w:eastAsia="仿宋_GB2312"/>
          <w:color w:val="000000"/>
          <w:spacing w:val="0"/>
          <w:sz w:val="32"/>
          <w:szCs w:val="32"/>
        </w:rPr>
        <w:t>人才工程的</w:t>
      </w:r>
      <w:r w:rsidRPr="00ED6656">
        <w:rPr>
          <w:rFonts w:eastAsia="仿宋_GB2312"/>
          <w:color w:val="000000"/>
          <w:spacing w:val="0"/>
          <w:sz w:val="32"/>
          <w:szCs w:val="32"/>
        </w:rPr>
        <w:lastRenderedPageBreak/>
        <w:t>实施办法进行，有关办法由自治区人力资源社会保障部门牵头制定或修订。</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第九条</w:t>
      </w:r>
      <w:r w:rsidRPr="00ED6656">
        <w:rPr>
          <w:rFonts w:eastAsia="仿宋_GB2312"/>
          <w:color w:val="000000"/>
          <w:spacing w:val="0"/>
          <w:sz w:val="32"/>
          <w:szCs w:val="32"/>
        </w:rPr>
        <w:t xml:space="preserve">　特聘专家的岗位职责主要是：</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（一）组织制定并主持实施本岗位创新创业发展计划，参与全区本行业本领域发展咨询服务；</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（二）组织申报并主持实施我区经济社会发展的重点课题、科技攻关项目、工程技术项目，促进成果转化和产业化；</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（三）推进学术技术交流与合作，提高本岗位创新创业团队的专业化水平；</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（四）加强本岗位创新创业团队人才培养，带动设岗单位人才梯队建设；</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（五）完成聘任合同规定的其他工作任务。</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ascii="黑体" w:eastAsia="黑体" w:hAnsi="黑体"/>
          <w:color w:val="000000"/>
          <w:spacing w:val="0"/>
          <w:sz w:val="32"/>
          <w:szCs w:val="32"/>
        </w:rPr>
      </w:pPr>
      <w:r w:rsidRPr="00ED6656">
        <w:rPr>
          <w:rFonts w:ascii="黑体" w:eastAsia="黑体" w:hAnsi="黑体"/>
          <w:color w:val="000000"/>
          <w:spacing w:val="0"/>
          <w:sz w:val="32"/>
          <w:szCs w:val="32"/>
        </w:rPr>
        <w:t>第三章　选聘条件和程序</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第十条</w:t>
      </w:r>
      <w:r w:rsidRPr="00ED6656">
        <w:rPr>
          <w:rFonts w:eastAsia="仿宋_GB2312"/>
          <w:color w:val="000000"/>
          <w:spacing w:val="0"/>
          <w:sz w:val="32"/>
          <w:szCs w:val="32"/>
        </w:rPr>
        <w:t xml:space="preserve">　特聘专家面向区内外公开选聘。人选应当具备以下基本条件：</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（一）热爱中华人民共和国，科学道德高尚，学风严谨，品行端正。</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（二）具有较高学术造诣或技术水平，一般应当具有博士学位或高级专业技术资格、高级技师职业资格，在科学研究、技术开发应用等方面取得区内外同行认可的成果和实绩，在本学科、行业领域有较大影响。</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lastRenderedPageBreak/>
        <w:t>（三）具有较强的项目管理能力和团结协作精神，主持过省部级以上科研课题、工程技术项目，善于培养中青年学术技术人才，能带领创新创业团队协同攻关。</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（四）身体健康，能够胜任岗位工作。</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（五）在聘期内，从设岗单位选聘的，每年必须在所聘岗位工作累计不少于</w:t>
      </w:r>
      <w:r w:rsidRPr="00ED6656">
        <w:rPr>
          <w:rFonts w:eastAsia="仿宋_GB2312"/>
          <w:color w:val="000000"/>
          <w:spacing w:val="0"/>
          <w:sz w:val="32"/>
          <w:szCs w:val="32"/>
        </w:rPr>
        <w:t>9</w:t>
      </w:r>
      <w:r w:rsidRPr="00ED6656">
        <w:rPr>
          <w:rFonts w:eastAsia="仿宋_GB2312"/>
          <w:color w:val="000000"/>
          <w:spacing w:val="0"/>
          <w:sz w:val="32"/>
          <w:szCs w:val="32"/>
        </w:rPr>
        <w:t>个月；从设岗单位以外选聘的，每年在设岗单位工作时间累计不少于</w:t>
      </w:r>
      <w:r w:rsidRPr="00ED6656">
        <w:rPr>
          <w:rFonts w:eastAsia="仿宋_GB2312"/>
          <w:color w:val="000000"/>
          <w:spacing w:val="0"/>
          <w:sz w:val="32"/>
          <w:szCs w:val="32"/>
        </w:rPr>
        <w:t>3</w:t>
      </w:r>
      <w:r w:rsidRPr="00ED6656">
        <w:rPr>
          <w:rFonts w:eastAsia="仿宋_GB2312"/>
          <w:color w:val="000000"/>
          <w:spacing w:val="0"/>
          <w:sz w:val="32"/>
          <w:szCs w:val="32"/>
        </w:rPr>
        <w:t>个月。</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第十一条</w:t>
      </w:r>
      <w:r w:rsidRPr="00ED6656">
        <w:rPr>
          <w:rFonts w:eastAsia="仿宋_GB2312"/>
          <w:color w:val="000000"/>
          <w:spacing w:val="0"/>
          <w:sz w:val="32"/>
          <w:szCs w:val="32"/>
        </w:rPr>
        <w:t xml:space="preserve">　特聘专家选聘工作坚持面向教学、科研、生产、医疗和服务一线，公务员及参照公务员法管理的事业单位工作人员不得申报和参评。</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第十二条</w:t>
      </w:r>
      <w:r w:rsidRPr="00ED6656">
        <w:rPr>
          <w:rFonts w:eastAsia="仿宋_GB2312"/>
          <w:color w:val="000000"/>
          <w:spacing w:val="0"/>
          <w:sz w:val="32"/>
          <w:szCs w:val="32"/>
        </w:rPr>
        <w:t xml:space="preserve">　特聘专家的选聘应当按照以下程序进行：</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（一）申请人按照公布的特聘专家岗位及条件向设岗单位提出申请。</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（二）设岗单位对申请人进行评议、遴选，提出推荐人选名单，经自治区主管部门或设区市人民政府审核同意后，报自治区人力资源社会保障部门。</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三）在自治区党委人才工作领导小组指导下，自治区人力资源社会保障部门对推荐人选组织开展集中评审，提出拟聘人选方案。评审中，要针对行业、专业和岗位特点，实行差异化的评价标准，突出品德、能力、实绩和贡献评价。注重发挥政府、市场、专业组织等多元评价主体作用，先组织同行知名专家进行初评，初评确定的人选名单面向社会进行公示无异议后，再组织综</w:t>
      </w:r>
      <w:r w:rsidRPr="00ED6656">
        <w:rPr>
          <w:rFonts w:eastAsia="仿宋_GB2312"/>
          <w:color w:val="000000"/>
          <w:spacing w:val="0"/>
          <w:sz w:val="32"/>
          <w:szCs w:val="32"/>
        </w:rPr>
        <w:lastRenderedPageBreak/>
        <w:t>合评审（评审委员会中相关领域的知名专家应当占</w:t>
      </w:r>
      <w:r w:rsidRPr="00ED6656">
        <w:rPr>
          <w:rFonts w:eastAsia="仿宋_GB2312"/>
          <w:color w:val="000000"/>
          <w:spacing w:val="0"/>
          <w:sz w:val="32"/>
          <w:szCs w:val="32"/>
        </w:rPr>
        <w:t>60</w:t>
      </w:r>
      <w:r w:rsidRPr="00ED6656">
        <w:rPr>
          <w:rFonts w:eastAsia="仿宋_GB2312"/>
          <w:color w:val="000000"/>
          <w:spacing w:val="0"/>
          <w:sz w:val="32"/>
          <w:szCs w:val="32"/>
        </w:rPr>
        <w:t>％以上），克服唯学历、唯职称、唯论文等倾向。</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（四）自治区党委人才工作领导小组审议通过拟聘人选。</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（五）自治区党委、自治区人民政府审定聘任人选，设岗单位与受聘专家签订聘任合同后，自治区党委、自治区人民政府颁发聘书。如三个月内未能按照申报承诺签订聘任合同的，取消设岗和聘任资格。</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ascii="黑体" w:eastAsia="黑体" w:hAnsi="黑体"/>
          <w:color w:val="000000"/>
          <w:spacing w:val="0"/>
          <w:sz w:val="32"/>
          <w:szCs w:val="32"/>
        </w:rPr>
      </w:pPr>
      <w:r w:rsidRPr="00ED6656">
        <w:rPr>
          <w:rFonts w:ascii="黑体" w:eastAsia="黑体" w:hAnsi="黑体"/>
          <w:color w:val="000000"/>
          <w:spacing w:val="0"/>
          <w:sz w:val="32"/>
          <w:szCs w:val="32"/>
        </w:rPr>
        <w:t>第四章　支持方式</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第十三条</w:t>
      </w:r>
      <w:r w:rsidRPr="00ED6656">
        <w:rPr>
          <w:rFonts w:eastAsia="仿宋_GB2312"/>
          <w:color w:val="000000"/>
          <w:spacing w:val="0"/>
          <w:sz w:val="32"/>
          <w:szCs w:val="32"/>
        </w:rPr>
        <w:t xml:space="preserve">　聘期内，自治区财政一次性给予每位特聘专家及其创新创业团队</w:t>
      </w:r>
      <w:r w:rsidRPr="00ED6656">
        <w:rPr>
          <w:rFonts w:eastAsia="仿宋_GB2312"/>
          <w:color w:val="000000"/>
          <w:spacing w:val="0"/>
          <w:sz w:val="32"/>
          <w:szCs w:val="32"/>
        </w:rPr>
        <w:t>20</w:t>
      </w:r>
      <w:r w:rsidRPr="00ED6656">
        <w:rPr>
          <w:rFonts w:eastAsia="仿宋_GB2312"/>
          <w:color w:val="000000"/>
          <w:spacing w:val="0"/>
          <w:sz w:val="32"/>
          <w:szCs w:val="32"/>
        </w:rPr>
        <w:t>万元专项补助经费；每年给予每位特聘专家</w:t>
      </w:r>
      <w:r w:rsidRPr="00ED6656">
        <w:rPr>
          <w:rFonts w:eastAsia="仿宋_GB2312"/>
          <w:color w:val="000000"/>
          <w:spacing w:val="0"/>
          <w:sz w:val="32"/>
          <w:szCs w:val="32"/>
        </w:rPr>
        <w:t>10</w:t>
      </w:r>
      <w:r w:rsidRPr="00ED6656">
        <w:rPr>
          <w:rFonts w:eastAsia="仿宋_GB2312"/>
          <w:color w:val="000000"/>
          <w:spacing w:val="0"/>
          <w:sz w:val="32"/>
          <w:szCs w:val="32"/>
        </w:rPr>
        <w:t>万元税后岗位津贴，给予所带团队</w:t>
      </w:r>
      <w:r w:rsidRPr="00ED6656">
        <w:rPr>
          <w:rFonts w:eastAsia="仿宋_GB2312"/>
          <w:color w:val="000000"/>
          <w:spacing w:val="0"/>
          <w:sz w:val="32"/>
          <w:szCs w:val="32"/>
        </w:rPr>
        <w:t>5</w:t>
      </w:r>
      <w:r w:rsidRPr="00ED6656">
        <w:rPr>
          <w:rFonts w:eastAsia="仿宋_GB2312"/>
          <w:color w:val="000000"/>
          <w:spacing w:val="0"/>
          <w:sz w:val="32"/>
          <w:szCs w:val="32"/>
        </w:rPr>
        <w:t>万元税后岗位津贴。特聘专家享受医疗优诊、每年一次的健康检查和聘期内一次的休假疗养待遇，同时享受设岗单位按照有关规定提供的工资、保险、福利等待遇。</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 xml:space="preserve">第十四条　</w:t>
      </w:r>
      <w:r w:rsidRPr="00ED6656">
        <w:rPr>
          <w:rFonts w:eastAsia="仿宋_GB2312"/>
          <w:color w:val="000000"/>
          <w:spacing w:val="0"/>
          <w:sz w:val="32"/>
          <w:szCs w:val="32"/>
        </w:rPr>
        <w:t>有关部门和设岗单位从工作条件、项目申报、人员聘用等方面支持特聘专家。聘期内，设岗单位每年向每位特聘专家所带团队提供不少于</w:t>
      </w:r>
      <w:r w:rsidRPr="00ED6656">
        <w:rPr>
          <w:rFonts w:eastAsia="仿宋_GB2312"/>
          <w:color w:val="000000"/>
          <w:spacing w:val="0"/>
          <w:sz w:val="32"/>
          <w:szCs w:val="32"/>
        </w:rPr>
        <w:t>5</w:t>
      </w:r>
      <w:r w:rsidRPr="00ED6656">
        <w:rPr>
          <w:rFonts w:eastAsia="仿宋_GB2312"/>
          <w:color w:val="000000"/>
          <w:spacing w:val="0"/>
          <w:sz w:val="32"/>
          <w:szCs w:val="32"/>
        </w:rPr>
        <w:t>万元的税后岗位津贴；每年向每位特聘专家及其团队提供的配套经费，自然科学与技术类不少于</w:t>
      </w:r>
      <w:r w:rsidRPr="00ED6656">
        <w:rPr>
          <w:rFonts w:eastAsia="仿宋_GB2312"/>
          <w:color w:val="000000"/>
          <w:spacing w:val="0"/>
          <w:sz w:val="32"/>
          <w:szCs w:val="32"/>
        </w:rPr>
        <w:t>20</w:t>
      </w:r>
      <w:r w:rsidRPr="00ED6656">
        <w:rPr>
          <w:rFonts w:eastAsia="仿宋_GB2312"/>
          <w:color w:val="000000"/>
          <w:spacing w:val="0"/>
          <w:sz w:val="32"/>
          <w:szCs w:val="32"/>
        </w:rPr>
        <w:t>万元、人文与社会科学类不少于</w:t>
      </w:r>
      <w:r w:rsidRPr="00ED6656">
        <w:rPr>
          <w:rFonts w:eastAsia="仿宋_GB2312"/>
          <w:color w:val="000000"/>
          <w:spacing w:val="0"/>
          <w:sz w:val="32"/>
          <w:szCs w:val="32"/>
        </w:rPr>
        <w:t>10</w:t>
      </w:r>
      <w:r w:rsidRPr="00ED6656">
        <w:rPr>
          <w:rFonts w:eastAsia="仿宋_GB2312"/>
          <w:color w:val="000000"/>
          <w:spacing w:val="0"/>
          <w:sz w:val="32"/>
          <w:szCs w:val="32"/>
        </w:rPr>
        <w:t>万元。</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第十五条</w:t>
      </w:r>
      <w:r w:rsidRPr="00ED6656">
        <w:rPr>
          <w:rFonts w:eastAsia="仿宋_GB2312"/>
          <w:color w:val="000000"/>
          <w:spacing w:val="0"/>
          <w:sz w:val="32"/>
          <w:szCs w:val="32"/>
        </w:rPr>
        <w:t xml:space="preserve">　特聘专家及其创新创业团队，在聘期内研发高新技术、转化科技成果、发展高新产业取得直接经济效益的，经与</w:t>
      </w:r>
      <w:r w:rsidRPr="00ED6656">
        <w:rPr>
          <w:rFonts w:eastAsia="仿宋_GB2312"/>
          <w:color w:val="000000"/>
          <w:spacing w:val="8"/>
          <w:sz w:val="32"/>
          <w:szCs w:val="32"/>
        </w:rPr>
        <w:lastRenderedPageBreak/>
        <w:t>设岗单位协商，其成果转化收益奖励可以适当高于国家规定的比例。</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第十六条</w:t>
      </w:r>
      <w:r w:rsidRPr="00ED6656">
        <w:rPr>
          <w:rFonts w:eastAsia="仿宋_GB2312"/>
          <w:color w:val="000000"/>
          <w:spacing w:val="0"/>
          <w:sz w:val="32"/>
          <w:szCs w:val="32"/>
        </w:rPr>
        <w:t xml:space="preserve">　其他工作、生活方面的待遇，由设岗单位根据有关规定和实际情况，与特聘专家协商确定。</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第十七条</w:t>
      </w:r>
      <w:r w:rsidRPr="00ED6656">
        <w:rPr>
          <w:rFonts w:eastAsia="仿宋_GB2312"/>
          <w:color w:val="000000"/>
          <w:spacing w:val="0"/>
          <w:sz w:val="32"/>
          <w:szCs w:val="32"/>
        </w:rPr>
        <w:t xml:space="preserve">　特聘青年专家的待遇，按照自治区新世纪</w:t>
      </w:r>
      <w:r w:rsidRPr="00ED6656">
        <w:rPr>
          <w:rFonts w:ascii="宋体" w:hAnsi="宋体"/>
          <w:color w:val="000000"/>
          <w:spacing w:val="0"/>
          <w:sz w:val="32"/>
          <w:szCs w:val="32"/>
        </w:rPr>
        <w:t>“</w:t>
      </w:r>
      <w:r w:rsidRPr="00ED6656">
        <w:rPr>
          <w:rFonts w:eastAsia="仿宋_GB2312"/>
          <w:color w:val="000000"/>
          <w:spacing w:val="0"/>
          <w:sz w:val="32"/>
          <w:szCs w:val="32"/>
        </w:rPr>
        <w:t>十百千</w:t>
      </w:r>
      <w:r w:rsidRPr="00ED6656">
        <w:rPr>
          <w:rFonts w:ascii="宋体" w:hAnsi="宋体"/>
          <w:color w:val="000000"/>
          <w:spacing w:val="0"/>
          <w:sz w:val="32"/>
          <w:szCs w:val="32"/>
        </w:rPr>
        <w:t>”</w:t>
      </w:r>
      <w:r w:rsidRPr="00ED6656">
        <w:rPr>
          <w:rFonts w:eastAsia="仿宋_GB2312"/>
          <w:color w:val="000000"/>
          <w:spacing w:val="0"/>
          <w:sz w:val="32"/>
          <w:szCs w:val="32"/>
        </w:rPr>
        <w:t>人才工程有关规定执行。</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ascii="黑体" w:eastAsia="黑体" w:hAnsi="黑体"/>
          <w:color w:val="000000"/>
          <w:spacing w:val="0"/>
          <w:sz w:val="32"/>
          <w:szCs w:val="32"/>
        </w:rPr>
      </w:pPr>
      <w:r w:rsidRPr="00ED6656">
        <w:rPr>
          <w:rFonts w:ascii="黑体" w:eastAsia="黑体" w:hAnsi="黑体"/>
          <w:color w:val="000000"/>
          <w:spacing w:val="0"/>
          <w:sz w:val="32"/>
          <w:szCs w:val="32"/>
        </w:rPr>
        <w:t>第五章　考核管理</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第十八条</w:t>
      </w:r>
      <w:r w:rsidRPr="00ED6656">
        <w:rPr>
          <w:rFonts w:eastAsia="仿宋_GB2312"/>
          <w:color w:val="000000"/>
          <w:spacing w:val="0"/>
          <w:sz w:val="32"/>
          <w:szCs w:val="32"/>
        </w:rPr>
        <w:t xml:space="preserve">　特聘专家、特聘青年专家及其创新创业团队实行聘期目标管理，由设岗单位分别与专家及其团队成员签订聘任合同，明确工作目标和责任，并报自治区人力资源社会保障部门、自治区党委人才工作领导小组办公室备案。</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第十九条</w:t>
      </w:r>
      <w:r w:rsidRPr="00ED6656">
        <w:rPr>
          <w:rFonts w:eastAsia="仿宋_GB2312"/>
          <w:color w:val="000000"/>
          <w:spacing w:val="0"/>
          <w:sz w:val="32"/>
          <w:szCs w:val="32"/>
        </w:rPr>
        <w:t xml:space="preserve">　特聘专家、特聘青年专家及其团队成员的考核分为年度考核和期满考核，主要考核履行岗位职责、取得研究成果、促进成果转化、培养人才梯队等方面情况。</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对特聘专家、特聘青年专家的年度考核，由设岗单位负责，考核结果报自治区人力资源社会保障部门备案。期满考核由自治区人力资源社会保障部门组织，设岗单位的自治区主管部门或设区市人民政府共同参与，考核结果报自治区党委人才工作领导小组办公室。</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对创新创业团队成员的考核，由设岗单位商特聘专家、特聘青年专家共同负责。</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lastRenderedPageBreak/>
        <w:t>第二十条</w:t>
      </w:r>
      <w:r w:rsidRPr="00ED6656">
        <w:rPr>
          <w:rFonts w:eastAsia="仿宋_GB2312"/>
          <w:color w:val="000000"/>
          <w:spacing w:val="0"/>
          <w:sz w:val="32"/>
          <w:szCs w:val="32"/>
        </w:rPr>
        <w:t xml:space="preserve">　对特聘专家的设岗单位实行期满考核，结合对特聘专家的考核一并进行，重点考核履行设岗单位职责、提供配套资助和服务保障等方面情况。对特聘青年专家的设岗单位不组织专门考核。</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设岗单位期满考核由自治区人力资源社会保障部门组织，其自治区主管部门或所在的设区市人民政府共同参与，考核结果报自治区党委人才工作领导小组办公室。</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第二十一条</w:t>
      </w:r>
      <w:r w:rsidRPr="00ED6656">
        <w:rPr>
          <w:rFonts w:eastAsia="仿宋_GB2312"/>
          <w:color w:val="000000"/>
          <w:spacing w:val="0"/>
          <w:sz w:val="32"/>
          <w:szCs w:val="32"/>
        </w:rPr>
        <w:t xml:space="preserve">　特聘专家、特聘青年专家聘任期满考核优秀的，</w:t>
      </w:r>
      <w:r w:rsidRPr="00ED6656">
        <w:rPr>
          <w:rFonts w:eastAsia="仿宋_GB2312"/>
          <w:color w:val="000000"/>
          <w:spacing w:val="8"/>
          <w:sz w:val="32"/>
          <w:szCs w:val="32"/>
        </w:rPr>
        <w:t>鼓励设岗单位根据项目完成情况给予适当奖励，同时给予以下激励：</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（一）在下一轮申报相应岗位时，同等条件优先续聘。</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（二）特聘青年专家申报特聘专家岗位，同等条件优先支持。</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（三）特聘专家、特聘青年专家申报其他自治区重大人才、科研项目，同等条件优先支持。</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第二十二条</w:t>
      </w:r>
      <w:r w:rsidRPr="00ED6656">
        <w:rPr>
          <w:rFonts w:eastAsia="仿宋_GB2312"/>
          <w:color w:val="000000"/>
          <w:spacing w:val="0"/>
          <w:sz w:val="32"/>
          <w:szCs w:val="32"/>
        </w:rPr>
        <w:t xml:space="preserve">　特聘专家、特聘青年专家年度考核不称职的，须认真整改；连续</w:t>
      </w:r>
      <w:r w:rsidRPr="00ED6656">
        <w:rPr>
          <w:rFonts w:eastAsia="仿宋_GB2312"/>
          <w:color w:val="000000"/>
          <w:spacing w:val="0"/>
          <w:sz w:val="32"/>
          <w:szCs w:val="32"/>
        </w:rPr>
        <w:t>2</w:t>
      </w:r>
      <w:r w:rsidRPr="00ED6656">
        <w:rPr>
          <w:rFonts w:eastAsia="仿宋_GB2312"/>
          <w:color w:val="000000"/>
          <w:spacing w:val="0"/>
          <w:sz w:val="32"/>
          <w:szCs w:val="32"/>
        </w:rPr>
        <w:t>年年度考核不称职的，报自治区党委人才工作领导小组认定后，解除聘任合同，停发岗位津贴和科研补助经费。聘任期满考核不合格的，</w:t>
      </w:r>
      <w:r w:rsidRPr="00ED6656">
        <w:rPr>
          <w:rFonts w:eastAsia="仿宋_GB2312"/>
          <w:color w:val="000000"/>
          <w:spacing w:val="0"/>
          <w:sz w:val="32"/>
          <w:szCs w:val="32"/>
        </w:rPr>
        <w:t>3</w:t>
      </w:r>
      <w:r w:rsidRPr="00ED6656">
        <w:rPr>
          <w:rFonts w:eastAsia="仿宋_GB2312"/>
          <w:color w:val="000000"/>
          <w:spacing w:val="0"/>
          <w:sz w:val="32"/>
          <w:szCs w:val="32"/>
        </w:rPr>
        <w:t>年内不得申报自治区重大人才项目。</w:t>
      </w:r>
    </w:p>
    <w:p w:rsidR="00A86BB6" w:rsidRPr="00ED6656" w:rsidRDefault="00A86BB6" w:rsidP="00A86BB6">
      <w:pPr>
        <w:snapToGrid w:val="0"/>
        <w:spacing w:line="590" w:lineRule="exact"/>
        <w:ind w:left="640" w:hangingChars="200" w:hanging="640"/>
        <w:rPr>
          <w:rFonts w:eastAsia="仿宋_GB2312"/>
          <w:color w:val="000000"/>
          <w:spacing w:val="0"/>
          <w:sz w:val="32"/>
          <w:szCs w:val="32"/>
        </w:rPr>
      </w:pPr>
      <w:r w:rsidRPr="00ED6656">
        <w:rPr>
          <w:rFonts w:eastAsia="仿宋_GB2312"/>
          <w:color w:val="000000"/>
          <w:spacing w:val="0"/>
          <w:sz w:val="32"/>
          <w:szCs w:val="32"/>
        </w:rPr>
        <w:t>设岗单位期满考核不合格的，</w:t>
      </w:r>
      <w:r w:rsidRPr="00ED6656">
        <w:rPr>
          <w:rFonts w:eastAsia="仿宋_GB2312"/>
          <w:color w:val="000000"/>
          <w:spacing w:val="0"/>
          <w:sz w:val="32"/>
          <w:szCs w:val="32"/>
        </w:rPr>
        <w:t>3</w:t>
      </w:r>
      <w:r w:rsidRPr="00ED6656">
        <w:rPr>
          <w:rFonts w:eastAsia="仿宋_GB2312"/>
          <w:color w:val="000000"/>
          <w:spacing w:val="0"/>
          <w:sz w:val="32"/>
          <w:szCs w:val="32"/>
        </w:rPr>
        <w:t>年内不得再次申报岗位及人选。</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第二十三条</w:t>
      </w:r>
      <w:r w:rsidRPr="00ED6656">
        <w:rPr>
          <w:rFonts w:eastAsia="仿宋_GB2312"/>
          <w:color w:val="000000"/>
          <w:spacing w:val="0"/>
          <w:sz w:val="32"/>
          <w:szCs w:val="32"/>
        </w:rPr>
        <w:t xml:space="preserve">　自治区主管部门、设区市人民政府根据本办法制定具体实施细则，完善配套措施，做好特聘专家和特聘青年专家的岗位设置、人选审核、日常管理和经费保障等工作，加强经</w:t>
      </w:r>
      <w:r w:rsidRPr="00ED6656">
        <w:rPr>
          <w:rFonts w:eastAsia="仿宋_GB2312"/>
          <w:color w:val="000000"/>
          <w:spacing w:val="0"/>
          <w:sz w:val="32"/>
          <w:szCs w:val="32"/>
        </w:rPr>
        <w:lastRenderedPageBreak/>
        <w:t>费使用情况的审计。</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设岗单位在自治区主管部门或设区市人民政府领导下，加强对特聘专家和特聘青年专家的服务，落实各项扶持措施，保证配套资金及时足额到位。</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第二十四条</w:t>
      </w:r>
      <w:r w:rsidRPr="00ED6656">
        <w:rPr>
          <w:rFonts w:eastAsia="仿宋_GB2312"/>
          <w:color w:val="000000"/>
          <w:spacing w:val="0"/>
          <w:sz w:val="32"/>
          <w:szCs w:val="32"/>
        </w:rPr>
        <w:t xml:space="preserve">　聘期内，特聘专家、特聘青年专家因提任党政机关领导实职，导致不能继续履行聘任合同约定职责的，设岗单位应当及时报告主管部门，报经自治区党委人才工作领导小组同意后终止合同，不再享受相应待遇。</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第二十五条</w:t>
      </w:r>
      <w:r w:rsidRPr="00ED6656">
        <w:rPr>
          <w:rFonts w:eastAsia="仿宋_GB2312"/>
          <w:color w:val="000000"/>
          <w:spacing w:val="0"/>
          <w:sz w:val="32"/>
          <w:szCs w:val="32"/>
        </w:rPr>
        <w:t xml:space="preserve">　聘期内，特聘专家因个人原因提出辞聘的，需提前</w:t>
      </w:r>
      <w:r w:rsidRPr="00ED6656">
        <w:rPr>
          <w:rFonts w:eastAsia="仿宋_GB2312"/>
          <w:color w:val="000000"/>
          <w:spacing w:val="0"/>
          <w:sz w:val="32"/>
          <w:szCs w:val="32"/>
        </w:rPr>
        <w:t>3</w:t>
      </w:r>
      <w:r w:rsidRPr="00ED6656">
        <w:rPr>
          <w:rFonts w:eastAsia="仿宋_GB2312"/>
          <w:color w:val="000000"/>
          <w:spacing w:val="0"/>
          <w:sz w:val="32"/>
          <w:szCs w:val="32"/>
        </w:rPr>
        <w:t>个月向设岗单位提出申请，设岗单位同意并报自治区人力资源社会保障部门审核、自治区党委人才工作领导小组同意后，方可辞聘，并视具体情况承担相应的违约责任。</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第二十六条</w:t>
      </w:r>
      <w:r w:rsidRPr="00ED6656">
        <w:rPr>
          <w:rFonts w:eastAsia="仿宋_GB2312"/>
          <w:color w:val="000000"/>
          <w:spacing w:val="0"/>
          <w:sz w:val="32"/>
          <w:szCs w:val="32"/>
        </w:rPr>
        <w:t xml:space="preserve">　聘期内，特聘专家、特聘青年专家如受聘于八桂学者岗位，特聘青年专家如受聘于特聘专家岗位，按新岗位兑现待遇，不再享受原岗位待遇。</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第二十七条</w:t>
      </w:r>
      <w:r w:rsidRPr="00ED6656">
        <w:rPr>
          <w:rFonts w:eastAsia="仿宋_GB2312"/>
          <w:color w:val="000000"/>
          <w:spacing w:val="0"/>
          <w:sz w:val="32"/>
          <w:szCs w:val="32"/>
        </w:rPr>
        <w:t xml:space="preserve">　特聘专家、特聘青年专家在聘期内有下列情形的，经自治区人力资源社会保障部门核实，报自治区党委人才工作领导小组同意后，解除聘任合同，取消相关待遇。</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（一）有弄虚作假行为的；</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（二）违背科学道德，有学术不端行为的；</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t>（三）违纪违法并造成恶劣影响，或者触犯刑法受到司法机关处理的；</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eastAsia="仿宋_GB2312"/>
          <w:color w:val="000000"/>
          <w:spacing w:val="0"/>
          <w:sz w:val="32"/>
          <w:szCs w:val="32"/>
        </w:rPr>
        <w:lastRenderedPageBreak/>
        <w:t>（四）因个人原因未能履行协议的。</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jc w:val="center"/>
        <w:rPr>
          <w:rFonts w:ascii="黑体" w:eastAsia="黑体" w:hAnsi="黑体"/>
          <w:color w:val="000000"/>
          <w:spacing w:val="0"/>
          <w:sz w:val="32"/>
          <w:szCs w:val="32"/>
        </w:rPr>
      </w:pPr>
      <w:r w:rsidRPr="00ED6656">
        <w:rPr>
          <w:rFonts w:ascii="黑体" w:eastAsia="黑体" w:hAnsi="黑体"/>
          <w:color w:val="000000"/>
          <w:spacing w:val="0"/>
          <w:sz w:val="32"/>
          <w:szCs w:val="32"/>
        </w:rPr>
        <w:t>第六章　附　则</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 xml:space="preserve">第二十八条　</w:t>
      </w:r>
      <w:r w:rsidRPr="00ED6656">
        <w:rPr>
          <w:rFonts w:eastAsia="仿宋_GB2312"/>
          <w:color w:val="000000"/>
          <w:spacing w:val="0"/>
          <w:sz w:val="32"/>
          <w:szCs w:val="32"/>
        </w:rPr>
        <w:t>本办法具体解释工作由自治区党委组织部商有关部门承担。</w:t>
      </w:r>
    </w:p>
    <w:p w:rsidR="00A86BB6" w:rsidRPr="00ED6656" w:rsidRDefault="00A86BB6" w:rsidP="00A86BB6">
      <w:pPr>
        <w:snapToGrid w:val="0"/>
        <w:spacing w:line="590" w:lineRule="exact"/>
        <w:ind w:firstLineChars="200" w:firstLine="640"/>
        <w:rPr>
          <w:rFonts w:eastAsia="仿宋_GB2312"/>
          <w:color w:val="000000"/>
          <w:spacing w:val="0"/>
          <w:sz w:val="32"/>
          <w:szCs w:val="32"/>
        </w:rPr>
      </w:pPr>
      <w:r w:rsidRPr="00ED6656">
        <w:rPr>
          <w:rFonts w:ascii="黑体" w:eastAsia="黑体" w:hAnsi="黑体"/>
          <w:color w:val="000000"/>
          <w:spacing w:val="0"/>
          <w:sz w:val="32"/>
          <w:szCs w:val="32"/>
        </w:rPr>
        <w:t>第二十九条</w:t>
      </w:r>
      <w:r w:rsidRPr="00ED6656">
        <w:rPr>
          <w:rFonts w:eastAsia="仿宋_GB2312"/>
          <w:color w:val="000000"/>
          <w:spacing w:val="0"/>
          <w:sz w:val="32"/>
          <w:szCs w:val="32"/>
        </w:rPr>
        <w:t xml:space="preserve">　本办法自印发之日起施行。</w:t>
      </w:r>
      <w:smartTag w:uri="urn:schemas-microsoft-com:office:smarttags" w:element="chsdate">
        <w:smartTagPr>
          <w:attr w:name="IsROCDate" w:val="False"/>
          <w:attr w:name="IsLunarDate" w:val="False"/>
          <w:attr w:name="Day" w:val="16"/>
          <w:attr w:name="Month" w:val="9"/>
          <w:attr w:name="Year" w:val="2010"/>
        </w:smartTagPr>
        <w:r w:rsidRPr="00ED6656">
          <w:rPr>
            <w:rFonts w:eastAsia="仿宋_GB2312"/>
            <w:color w:val="000000"/>
            <w:spacing w:val="0"/>
            <w:sz w:val="32"/>
            <w:szCs w:val="32"/>
          </w:rPr>
          <w:t>2010</w:t>
        </w:r>
        <w:r w:rsidRPr="00ED6656">
          <w:rPr>
            <w:rFonts w:eastAsia="仿宋_GB2312"/>
            <w:color w:val="000000"/>
            <w:spacing w:val="0"/>
            <w:sz w:val="32"/>
            <w:szCs w:val="32"/>
          </w:rPr>
          <w:t>年</w:t>
        </w:r>
        <w:r w:rsidRPr="00ED6656">
          <w:rPr>
            <w:rFonts w:eastAsia="仿宋_GB2312"/>
            <w:color w:val="000000"/>
            <w:spacing w:val="0"/>
            <w:sz w:val="32"/>
            <w:szCs w:val="32"/>
          </w:rPr>
          <w:t>9</w:t>
        </w:r>
        <w:r w:rsidRPr="00ED6656">
          <w:rPr>
            <w:rFonts w:eastAsia="仿宋_GB2312"/>
            <w:color w:val="000000"/>
            <w:spacing w:val="0"/>
            <w:sz w:val="32"/>
            <w:szCs w:val="32"/>
          </w:rPr>
          <w:t>月</w:t>
        </w:r>
        <w:r w:rsidRPr="00ED6656">
          <w:rPr>
            <w:rFonts w:eastAsia="仿宋_GB2312"/>
            <w:color w:val="000000"/>
            <w:spacing w:val="0"/>
            <w:sz w:val="32"/>
            <w:szCs w:val="32"/>
          </w:rPr>
          <w:t>16</w:t>
        </w:r>
        <w:r w:rsidRPr="00ED6656">
          <w:rPr>
            <w:rFonts w:eastAsia="仿宋_GB2312"/>
            <w:color w:val="000000"/>
            <w:spacing w:val="0"/>
            <w:sz w:val="32"/>
            <w:szCs w:val="32"/>
          </w:rPr>
          <w:t>日</w:t>
        </w:r>
      </w:smartTag>
      <w:r w:rsidRPr="00ED6656">
        <w:rPr>
          <w:rFonts w:eastAsia="仿宋_GB2312"/>
          <w:color w:val="000000"/>
          <w:spacing w:val="0"/>
          <w:sz w:val="32"/>
          <w:szCs w:val="32"/>
        </w:rPr>
        <w:t>印发的《广西壮族自治区特聘专家制度试行办法》同时废止。</w:t>
      </w:r>
    </w:p>
    <w:p w:rsidR="00A86BB6" w:rsidRPr="00ED6656" w:rsidRDefault="00A86BB6" w:rsidP="00A86BB6">
      <w:pPr>
        <w:snapToGrid w:val="0"/>
        <w:spacing w:line="590" w:lineRule="exact"/>
        <w:rPr>
          <w:rFonts w:eastAsia="仿宋_GB2312"/>
          <w:color w:val="000000"/>
          <w:spacing w:val="0"/>
          <w:sz w:val="32"/>
          <w:szCs w:val="32"/>
        </w:rPr>
      </w:pPr>
    </w:p>
    <w:p w:rsidR="00A86BB6" w:rsidRPr="00ED6656" w:rsidRDefault="00A86BB6" w:rsidP="00A86BB6">
      <w:pPr>
        <w:snapToGrid w:val="0"/>
        <w:spacing w:line="590" w:lineRule="exact"/>
        <w:rPr>
          <w:rFonts w:eastAsia="仿宋_GB2312"/>
          <w:color w:val="000000"/>
          <w:spacing w:val="0"/>
          <w:sz w:val="32"/>
          <w:szCs w:val="32"/>
        </w:rPr>
      </w:pPr>
    </w:p>
    <w:sectPr w:rsidR="00A86BB6" w:rsidRPr="00ED6656" w:rsidSect="00A86BB6">
      <w:footerReference w:type="default" r:id="rId7"/>
      <w:pgSz w:w="11906" w:h="16838" w:code="9"/>
      <w:pgMar w:top="1985" w:right="1418" w:bottom="1418" w:left="141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238" w:rsidRDefault="00007238" w:rsidP="00A86BB6">
      <w:r>
        <w:separator/>
      </w:r>
    </w:p>
  </w:endnote>
  <w:endnote w:type="continuationSeparator" w:id="0">
    <w:p w:rsidR="00007238" w:rsidRDefault="00007238" w:rsidP="00A86BB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54907"/>
      <w:docPartObj>
        <w:docPartGallery w:val="Page Numbers (Bottom of Page)"/>
        <w:docPartUnique/>
      </w:docPartObj>
    </w:sdtPr>
    <w:sdtContent>
      <w:p w:rsidR="00A86BB6" w:rsidRDefault="00A86BB6" w:rsidP="00A86BB6">
        <w:pPr>
          <w:pStyle w:val="a4"/>
          <w:jc w:val="center"/>
        </w:pPr>
        <w:r w:rsidRPr="00A86BB6">
          <w:rPr>
            <w:rFonts w:asciiTheme="minorEastAsia" w:hAnsiTheme="minorEastAsia" w:hint="eastAsia"/>
            <w:sz w:val="28"/>
            <w:szCs w:val="28"/>
          </w:rPr>
          <w:t>—</w:t>
        </w:r>
        <w:r w:rsidRPr="00A86BB6">
          <w:rPr>
            <w:rFonts w:asciiTheme="minorEastAsia" w:hAnsiTheme="minorEastAsia"/>
            <w:sz w:val="28"/>
            <w:szCs w:val="28"/>
          </w:rPr>
          <w:t xml:space="preserve"> </w:t>
        </w:r>
        <w:r w:rsidR="00492F1F" w:rsidRPr="00A86BB6">
          <w:rPr>
            <w:rFonts w:asciiTheme="minorEastAsia" w:hAnsiTheme="minorEastAsia"/>
            <w:sz w:val="28"/>
            <w:szCs w:val="28"/>
          </w:rPr>
          <w:fldChar w:fldCharType="begin"/>
        </w:r>
        <w:r w:rsidRPr="00A86BB6">
          <w:rPr>
            <w:rFonts w:asciiTheme="minorEastAsia" w:hAnsiTheme="minorEastAsia"/>
            <w:sz w:val="28"/>
            <w:szCs w:val="28"/>
          </w:rPr>
          <w:instrText xml:space="preserve"> PAGE   \* MERGEFORMAT </w:instrText>
        </w:r>
        <w:r w:rsidR="00492F1F" w:rsidRPr="00A86BB6">
          <w:rPr>
            <w:rFonts w:asciiTheme="minorEastAsia" w:hAnsiTheme="minorEastAsia"/>
            <w:sz w:val="28"/>
            <w:szCs w:val="28"/>
          </w:rPr>
          <w:fldChar w:fldCharType="separate"/>
        </w:r>
        <w:r w:rsidR="00316395" w:rsidRPr="00316395">
          <w:rPr>
            <w:rFonts w:asciiTheme="minorEastAsia" w:hAnsiTheme="minorEastAsia"/>
            <w:noProof/>
            <w:sz w:val="28"/>
            <w:szCs w:val="28"/>
            <w:lang w:val="zh-CN"/>
          </w:rPr>
          <w:t>9</w:t>
        </w:r>
        <w:r w:rsidR="00492F1F" w:rsidRPr="00A86BB6">
          <w:rPr>
            <w:rFonts w:asciiTheme="minorEastAsia" w:hAnsiTheme="minorEastAsia"/>
            <w:sz w:val="28"/>
            <w:szCs w:val="28"/>
          </w:rPr>
          <w:fldChar w:fldCharType="end"/>
        </w:r>
        <w:r w:rsidRPr="00A86BB6">
          <w:rPr>
            <w:rFonts w:asciiTheme="minorEastAsia" w:hAnsiTheme="minorEastAsia"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238" w:rsidRDefault="00007238" w:rsidP="00A86BB6">
      <w:r>
        <w:separator/>
      </w:r>
    </w:p>
  </w:footnote>
  <w:footnote w:type="continuationSeparator" w:id="0">
    <w:p w:rsidR="00007238" w:rsidRDefault="00007238" w:rsidP="00A86B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11BAD"/>
    <w:multiLevelType w:val="hybridMultilevel"/>
    <w:tmpl w:val="1364385E"/>
    <w:lvl w:ilvl="0" w:tplc="516891BA">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1"/>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BB6"/>
    <w:rsid w:val="00007238"/>
    <w:rsid w:val="00316395"/>
    <w:rsid w:val="00354105"/>
    <w:rsid w:val="00492F1F"/>
    <w:rsid w:val="005C3C17"/>
    <w:rsid w:val="00A86BB6"/>
    <w:rsid w:val="00AB524E"/>
    <w:rsid w:val="00B978E2"/>
    <w:rsid w:val="00E551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BB6"/>
    <w:pPr>
      <w:widowControl w:val="0"/>
      <w:jc w:val="both"/>
    </w:pPr>
    <w:rPr>
      <w:rFonts w:ascii="Times New Roman" w:eastAsia="宋体" w:hAnsi="Times New Roman" w:cs="Times New Roman"/>
      <w:spacing w:val="-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6BB6"/>
    <w:pPr>
      <w:pBdr>
        <w:bottom w:val="single" w:sz="6" w:space="1" w:color="auto"/>
      </w:pBdr>
      <w:tabs>
        <w:tab w:val="center" w:pos="4153"/>
        <w:tab w:val="right" w:pos="8306"/>
      </w:tabs>
      <w:snapToGrid w:val="0"/>
      <w:jc w:val="center"/>
    </w:pPr>
    <w:rPr>
      <w:rFonts w:asciiTheme="minorHAnsi" w:eastAsiaTheme="minorEastAsia" w:hAnsiTheme="minorHAnsi" w:cstheme="minorBidi"/>
      <w:spacing w:val="0"/>
      <w:sz w:val="18"/>
      <w:szCs w:val="18"/>
    </w:rPr>
  </w:style>
  <w:style w:type="character" w:customStyle="1" w:styleId="Char">
    <w:name w:val="页眉 Char"/>
    <w:basedOn w:val="a0"/>
    <w:link w:val="a3"/>
    <w:uiPriority w:val="99"/>
    <w:semiHidden/>
    <w:rsid w:val="00A86BB6"/>
    <w:rPr>
      <w:sz w:val="18"/>
      <w:szCs w:val="18"/>
    </w:rPr>
  </w:style>
  <w:style w:type="paragraph" w:styleId="a4">
    <w:name w:val="footer"/>
    <w:basedOn w:val="a"/>
    <w:link w:val="Char0"/>
    <w:uiPriority w:val="99"/>
    <w:unhideWhenUsed/>
    <w:rsid w:val="00A86BB6"/>
    <w:pPr>
      <w:tabs>
        <w:tab w:val="center" w:pos="4153"/>
        <w:tab w:val="right" w:pos="8306"/>
      </w:tabs>
      <w:snapToGrid w:val="0"/>
      <w:jc w:val="left"/>
    </w:pPr>
    <w:rPr>
      <w:rFonts w:asciiTheme="minorHAnsi" w:eastAsiaTheme="minorEastAsia" w:hAnsiTheme="minorHAnsi" w:cstheme="minorBidi"/>
      <w:spacing w:val="0"/>
      <w:sz w:val="18"/>
      <w:szCs w:val="18"/>
    </w:rPr>
  </w:style>
  <w:style w:type="character" w:customStyle="1" w:styleId="Char0">
    <w:name w:val="页脚 Char"/>
    <w:basedOn w:val="a0"/>
    <w:link w:val="a4"/>
    <w:uiPriority w:val="99"/>
    <w:rsid w:val="00A86B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579</Words>
  <Characters>3301</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2</cp:revision>
  <dcterms:created xsi:type="dcterms:W3CDTF">2018-03-28T02:00:00Z</dcterms:created>
  <dcterms:modified xsi:type="dcterms:W3CDTF">2018-03-28T02:00:00Z</dcterms:modified>
</cp:coreProperties>
</file>