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6.教研室教学检查制度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为了充分发挥教研室在教学工作中的核心作用，提高各基础教学环节的教学质量，促进对教学的全程性管理，根据学校有关文件和规定精神，制定本制度。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一、每学期开学前，任课教师要将教学日历和教案交教研室研究讨论后，方可实施教学。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二、对新任教师和新开课教师的教学日历、教学大纲、讲稿教案等要经教研室集体讨论，教研室主任签字后方可实施。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三、教研室平时要随机或有针对性地抽查教师的教案和课堂教学情况，保证教师教学全过程的规范、有序。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四、定期组织教学水平较高、经验丰富的中老年教师对任课教师的教学日历、讲稿教案、辅导记录、学生作业本、论文、试卷等进行集中检查或相互检查，并收集学生反映意见。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五、教研室可邀请有关领导和专家有针对性的检查教师的教学情况。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六、对每一教学环节的质量检查要作出分析与评价，提出改进意见和措施，并做好记录。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七、教研室对教师平时教学情况的检查结果要作为教师年终考核的依据。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7245A"/>
    <w:rsid w:val="51C44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auto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2222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222222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current"/>
    <w:basedOn w:val="5"/>
    <w:qFormat/>
    <w:uiPriority w:val="0"/>
    <w:rPr>
      <w:b/>
      <w:color w:val="FFFFFF"/>
      <w:bdr w:val="single" w:color="176D9E" w:sz="6" w:space="0"/>
      <w:shd w:val="clear" w:fill="176D9E"/>
    </w:rPr>
  </w:style>
  <w:style w:type="character" w:customStyle="1" w:styleId="15">
    <w:name w:val="disabled"/>
    <w:basedOn w:val="5"/>
    <w:qFormat/>
    <w:uiPriority w:val="0"/>
    <w:rPr>
      <w:color w:val="666666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272191CAFD544DA6A54672908EB845F7</vt:lpwstr>
  </property>
</Properties>
</file>