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（3）教授工作职责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300" w:afterAutospacing="0" w:line="315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除承担教授职责范围内的工作外，还必须承担本科教学任务，为本科生上课，应承担比副教授要求更高的工作，领导本学科教学、医疗和科学研究工作，应成为本专业的学科带头人，并指导下一级教师开展教学、科研工作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及时学习国际、国内前沿科学技术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06121"/>
    <w:rsid w:val="25703247"/>
    <w:rsid w:val="55EB3B55"/>
    <w:rsid w:val="57574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customStyle="1" w:styleId="14">
    <w:name w:val="current"/>
    <w:basedOn w:val="5"/>
    <w:uiPriority w:val="0"/>
    <w:rPr>
      <w:b/>
      <w:color w:val="FFFFFF"/>
      <w:bdr w:val="single" w:color="176D9E" w:sz="6" w:space="0"/>
      <w:shd w:val="clear" w:fill="176D9E"/>
    </w:rPr>
  </w:style>
  <w:style w:type="character" w:customStyle="1" w:styleId="15">
    <w:name w:val="disabled"/>
    <w:basedOn w:val="5"/>
    <w:uiPriority w:val="0"/>
    <w:rPr>
      <w:color w:val="666666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099FE87189BA4133AF11D8691CD92631</vt:lpwstr>
  </property>
</Properties>
</file>